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2810A">
      <w:pPr>
        <w:rPr>
          <w:rFonts w:hint="eastAsia" w:ascii="黑体" w:hAnsi="黑体" w:eastAsia="黑体"/>
          <w:sz w:val="32"/>
          <w:szCs w:val="32"/>
        </w:rPr>
      </w:pPr>
    </w:p>
    <w:p w14:paraId="3E4D235E">
      <w:pPr>
        <w:jc w:val="center"/>
        <w:rPr>
          <w:rFonts w:hint="eastAsia" w:ascii="方正小标宋_GBK" w:hAnsi="宋体" w:eastAsia="方正小标宋_GBK"/>
          <w:sz w:val="44"/>
          <w:szCs w:val="44"/>
        </w:rPr>
      </w:pPr>
    </w:p>
    <w:p w14:paraId="3052929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乌鲁木齐市米东区总工会</w:t>
      </w:r>
    </w:p>
    <w:p w14:paraId="6ACF2CC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28F4F04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7B1EF76">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03C79C0">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B17AC92">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6440D2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BB90F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25925B7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ACA95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8C50AD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A3E6C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7D7DD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F69B27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4F0C2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373827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1613D8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A81B77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D6800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9F2F8F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946316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4E1FC7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C9E70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544B14C">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75281F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3515E1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3926A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30D60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34C8AE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A790D0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0F62C0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F03B18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BBE6F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3CBF51B">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286F34F">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E310A1F">
      <w:r>
        <w:rPr>
          <w:rFonts w:hint="eastAsia" w:ascii="仿宋_GB2312" w:hAnsi="仿宋_GB2312" w:eastAsia="仿宋_GB2312" w:cs="仿宋_GB2312"/>
          <w:sz w:val="32"/>
          <w:szCs w:val="32"/>
        </w:rPr>
        <w:fldChar w:fldCharType="end"/>
      </w:r>
    </w:p>
    <w:p w14:paraId="7A5E1ACE">
      <w:pPr>
        <w:rPr>
          <w:rFonts w:ascii="仿宋_GB2312" w:eastAsia="仿宋_GB2312"/>
          <w:sz w:val="32"/>
          <w:szCs w:val="32"/>
        </w:rPr>
      </w:pPr>
      <w:r>
        <w:rPr>
          <w:rFonts w:hint="eastAsia" w:ascii="仿宋_GB2312" w:eastAsia="仿宋_GB2312"/>
          <w:sz w:val="32"/>
          <w:szCs w:val="32"/>
        </w:rPr>
        <w:br w:type="page"/>
      </w:r>
    </w:p>
    <w:p w14:paraId="07373EFC">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6D77FD9F">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F499FD1">
      <w:pPr>
        <w:ind w:firstLine="640" w:firstLineChars="200"/>
        <w:jc w:val="left"/>
        <w:rPr>
          <w:rFonts w:ascii="仿宋_GB2312" w:eastAsia="仿宋_GB2312"/>
          <w:sz w:val="32"/>
          <w:szCs w:val="32"/>
        </w:rPr>
      </w:pPr>
      <w:r>
        <w:rPr>
          <w:rFonts w:hint="eastAsia" w:ascii="仿宋_GB2312" w:eastAsia="仿宋_GB2312"/>
          <w:sz w:val="32"/>
          <w:szCs w:val="32"/>
        </w:rPr>
        <w:t>（1）坚持自觉接受中国共产党的领导，承担团结引导职工群众听党话、跟党走的政治责任，巩固和扩大党执政的阶级基础和群众基础，贯彻落实区委和乌鲁木齐市总工会重要工作部署，认真执行工会代表大会、全委会确定的方针、任务和作出的决议。</w:t>
      </w:r>
    </w:p>
    <w:p w14:paraId="3684F3DC">
      <w:pPr>
        <w:ind w:firstLine="640" w:firstLineChars="200"/>
        <w:jc w:val="left"/>
        <w:rPr>
          <w:rFonts w:ascii="仿宋_GB2312" w:eastAsia="仿宋_GB2312"/>
          <w:sz w:val="32"/>
          <w:szCs w:val="32"/>
        </w:rPr>
      </w:pPr>
      <w:r>
        <w:rPr>
          <w:rFonts w:hint="eastAsia" w:ascii="仿宋_GB2312" w:eastAsia="仿宋_GB2312"/>
          <w:sz w:val="32"/>
          <w:szCs w:val="32"/>
        </w:rPr>
        <w:t>（2）依照法律法规和《中国工会章程》，组织和指导全区各级工会坚定不移地贯彻落实党的全心全意依靠工人阶级的根本指导方针，认真履行工会各项职能，维护职工合法权益，竭诚服务职工群众。</w:t>
      </w:r>
    </w:p>
    <w:p w14:paraId="258C1E15">
      <w:pPr>
        <w:ind w:firstLine="640" w:firstLineChars="200"/>
        <w:jc w:val="left"/>
        <w:rPr>
          <w:rFonts w:ascii="仿宋_GB2312" w:eastAsia="仿宋_GB2312"/>
          <w:sz w:val="32"/>
          <w:szCs w:val="32"/>
        </w:rPr>
      </w:pPr>
      <w:r>
        <w:rPr>
          <w:rFonts w:hint="eastAsia" w:ascii="仿宋_GB2312" w:eastAsia="仿宋_GB2312"/>
          <w:sz w:val="32"/>
          <w:szCs w:val="32"/>
        </w:rPr>
        <w:t>（3）承担对涉及职工合法权益重大问题的调查研究，向区委和区人民政府反映职工群众的思想、愿望和要求，提出建议和意见；参与拟定设计职工切身利益的措施和制度；监督和协助行政部门贯彻执行国家劳动保护的法规和标准；组织对侵犯职工合法权益的重大事件进行调查并提出处理意见，参与职工重大伤亡事故的调查处理；指导基层工会不断提高职工的思想道德和科学文化技术素质。</w:t>
      </w:r>
    </w:p>
    <w:p w14:paraId="0B6AD955">
      <w:pPr>
        <w:ind w:firstLine="640" w:firstLineChars="200"/>
        <w:jc w:val="left"/>
        <w:rPr>
          <w:rFonts w:ascii="仿宋_GB2312" w:eastAsia="仿宋_GB2312"/>
          <w:sz w:val="32"/>
          <w:szCs w:val="32"/>
        </w:rPr>
      </w:pPr>
      <w:r>
        <w:rPr>
          <w:rFonts w:hint="eastAsia" w:ascii="仿宋_GB2312" w:eastAsia="仿宋_GB2312"/>
          <w:sz w:val="32"/>
          <w:szCs w:val="32"/>
        </w:rPr>
        <w:t>（4）负责工会理论政策研究，为各级工会提供理论政策服务；监督检查《中国工会章程》和工会组织制度、民主制度的贯彻执行；研究和指导各级工会自身改革和建设；指导基层工会开展以职工代表大会为基本制度的企业单位民主管理工作，推动建立平等协商，集体合同制度和监督保证机制。</w:t>
      </w:r>
    </w:p>
    <w:p w14:paraId="1D205338">
      <w:pPr>
        <w:ind w:firstLine="640" w:firstLineChars="200"/>
        <w:jc w:val="left"/>
        <w:rPr>
          <w:rFonts w:ascii="仿宋_GB2312" w:eastAsia="仿宋_GB2312"/>
          <w:sz w:val="32"/>
          <w:szCs w:val="32"/>
        </w:rPr>
      </w:pPr>
      <w:r>
        <w:rPr>
          <w:rFonts w:hint="eastAsia" w:ascii="仿宋_GB2312" w:eastAsia="仿宋_GB2312"/>
          <w:sz w:val="32"/>
          <w:szCs w:val="32"/>
        </w:rPr>
        <w:t>（5）贯彻执行工会干部管理制度；负责与乡镇(片区)党(工)委和有关部门党组协商推荐同级工会的主要领导人选；协同有关部门管理工会系统干部；研究制定工会干部管理制度和培训规划，负责工会系统管理干部的教育培训工作。</w:t>
      </w:r>
    </w:p>
    <w:p w14:paraId="7C254DCD">
      <w:pPr>
        <w:ind w:firstLine="640" w:firstLineChars="200"/>
        <w:jc w:val="left"/>
        <w:rPr>
          <w:rFonts w:ascii="仿宋_GB2312" w:eastAsia="仿宋_GB2312"/>
          <w:sz w:val="32"/>
          <w:szCs w:val="32"/>
        </w:rPr>
      </w:pPr>
      <w:r>
        <w:rPr>
          <w:rFonts w:hint="eastAsia" w:ascii="仿宋_GB2312" w:eastAsia="仿宋_GB2312"/>
          <w:sz w:val="32"/>
          <w:szCs w:val="32"/>
        </w:rPr>
        <w:t>（6）协助区委、区人民政府做好区级劳动模范(含“先进工作者”，下同)的选树、培养、推荐、评选和管理服务工作；负责全国劳动模范、全国“五一”劳动奖章、奖状和自治区、乌鲁木齐劳动模范、“开发建设新疆”奖章奖状等获得者的推荐和管理服务工作。</w:t>
      </w:r>
    </w:p>
    <w:p w14:paraId="3E26B619">
      <w:pPr>
        <w:ind w:firstLine="640" w:firstLineChars="200"/>
        <w:jc w:val="left"/>
        <w:rPr>
          <w:rFonts w:ascii="仿宋_GB2312" w:eastAsia="仿宋_GB2312"/>
          <w:sz w:val="32"/>
          <w:szCs w:val="32"/>
        </w:rPr>
      </w:pPr>
      <w:r>
        <w:rPr>
          <w:rFonts w:hint="eastAsia" w:ascii="仿宋_GB2312" w:eastAsia="仿宋_GB2312"/>
          <w:sz w:val="32"/>
          <w:szCs w:val="32"/>
        </w:rPr>
        <w:t>（7）负责全区工会经费和工会资产的管理、审查、审计工作；贯彻执行上级工会关于职工劳动福利事业有关政策和规定，并指导和监督落实。</w:t>
      </w:r>
    </w:p>
    <w:p w14:paraId="6E24A409">
      <w:pPr>
        <w:ind w:firstLine="640" w:firstLineChars="200"/>
        <w:jc w:val="left"/>
        <w:rPr>
          <w:rFonts w:ascii="仿宋_GB2312" w:eastAsia="仿宋_GB2312"/>
          <w:sz w:val="32"/>
          <w:szCs w:val="32"/>
        </w:rPr>
      </w:pPr>
      <w:r>
        <w:rPr>
          <w:rFonts w:hint="eastAsia" w:ascii="仿宋_GB2312" w:eastAsia="仿宋_GB2312"/>
          <w:sz w:val="32"/>
          <w:szCs w:val="32"/>
        </w:rPr>
        <w:t>（8）承办区委、区人民政府和乌鲁木齐市总工会交办的其他事项。</w:t>
      </w:r>
    </w:p>
    <w:p w14:paraId="0EB5EE00">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4782BDF">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乌鲁木齐市米东区总工会2023年度，实有人数</w:t>
      </w:r>
      <w:r>
        <w:rPr>
          <w:rFonts w:hint="eastAsia" w:ascii="仿宋_GB2312" w:eastAsia="仿宋_GB2312"/>
          <w:sz w:val="32"/>
          <w:szCs w:val="32"/>
          <w:lang w:val="zh-CN"/>
        </w:rPr>
        <w:t>16</w:t>
      </w:r>
      <w:r>
        <w:rPr>
          <w:rFonts w:hint="eastAsia" w:ascii="仿宋_GB2312" w:eastAsia="仿宋_GB2312"/>
          <w:sz w:val="32"/>
          <w:szCs w:val="32"/>
        </w:rPr>
        <w:t>人，其中：在职人员</w:t>
      </w:r>
      <w:r>
        <w:rPr>
          <w:rFonts w:hint="eastAsia" w:ascii="仿宋_GB2312" w:eastAsia="仿宋_GB2312"/>
          <w:sz w:val="32"/>
          <w:szCs w:val="32"/>
          <w:lang w:val="zh-CN"/>
        </w:rPr>
        <w:t>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14:paraId="596B3E7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财务室、行政办公室。</w:t>
      </w:r>
    </w:p>
    <w:p w14:paraId="1B9F6C51">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E0B2136">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C0600E4">
      <w:pPr>
        <w:ind w:firstLine="640" w:firstLineChars="200"/>
        <w:jc w:val="left"/>
        <w:rPr>
          <w:rFonts w:ascii="仿宋_GB2312" w:eastAsia="仿宋_GB2312"/>
          <w:sz w:val="32"/>
          <w:szCs w:val="32"/>
        </w:rPr>
      </w:pPr>
      <w:r>
        <w:rPr>
          <w:rFonts w:hint="eastAsia" w:ascii="仿宋_GB2312" w:eastAsia="仿宋_GB2312"/>
          <w:sz w:val="32"/>
          <w:szCs w:val="32"/>
        </w:rPr>
        <w:t>2023年度收入总计136.11万元，其中：本年收入合计136.05万元，使用非财政拨款结余0.00万元，年初结转和结余0.06万元。</w:t>
      </w:r>
    </w:p>
    <w:p w14:paraId="2D5CF05D">
      <w:pPr>
        <w:ind w:firstLine="640" w:firstLineChars="200"/>
        <w:jc w:val="left"/>
        <w:rPr>
          <w:rFonts w:ascii="仿宋_GB2312" w:eastAsia="仿宋_GB2312"/>
          <w:sz w:val="32"/>
          <w:szCs w:val="32"/>
        </w:rPr>
      </w:pPr>
      <w:r>
        <w:rPr>
          <w:rFonts w:hint="eastAsia" w:ascii="仿宋_GB2312" w:eastAsia="仿宋_GB2312"/>
          <w:sz w:val="32"/>
          <w:szCs w:val="32"/>
        </w:rPr>
        <w:t>2023年度支出总计136.11万元，其中：本年支出合计136.05万元，结余分配0.00万元，年末结转和结余0.06万元。</w:t>
      </w:r>
    </w:p>
    <w:p w14:paraId="617DE8D7">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增加4.17万元</w:t>
      </w:r>
      <w:r>
        <w:rPr>
          <w:rFonts w:hint="eastAsia" w:ascii="仿宋_GB2312" w:eastAsia="仿宋_GB2312"/>
          <w:sz w:val="32"/>
          <w:szCs w:val="32"/>
        </w:rPr>
        <w:t>，增长3.16%，主要原因是：</w:t>
      </w:r>
      <w:r>
        <w:rPr>
          <w:rFonts w:hint="eastAsia" w:ascii="仿宋_GB2312" w:hAnsi="仿宋_GB2312" w:eastAsia="仿宋_GB2312" w:cs="仿宋_GB2312"/>
          <w:sz w:val="32"/>
          <w:szCs w:val="32"/>
        </w:rPr>
        <w:t>本年社保基数上调，人员养老保险、职业年金缴费等增加</w:t>
      </w:r>
      <w:r>
        <w:rPr>
          <w:rFonts w:hint="eastAsia" w:ascii="仿宋_GB2312" w:eastAsia="仿宋_GB2312"/>
          <w:sz w:val="32"/>
          <w:szCs w:val="32"/>
        </w:rPr>
        <w:t>。</w:t>
      </w:r>
    </w:p>
    <w:p w14:paraId="365A5DC4">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43CC03FE">
      <w:pPr>
        <w:ind w:firstLine="640" w:firstLineChars="200"/>
        <w:jc w:val="left"/>
        <w:rPr>
          <w:rFonts w:ascii="仿宋_GB2312" w:eastAsia="仿宋_GB2312"/>
          <w:sz w:val="32"/>
          <w:szCs w:val="32"/>
        </w:rPr>
      </w:pPr>
      <w:r>
        <w:rPr>
          <w:rFonts w:hint="eastAsia" w:ascii="仿宋_GB2312" w:eastAsia="仿宋_GB2312"/>
          <w:sz w:val="32"/>
          <w:szCs w:val="32"/>
        </w:rPr>
        <w:t>本年收入136.05万元，其中：财政拨款收入</w:t>
      </w:r>
      <w:r>
        <w:rPr>
          <w:rFonts w:hint="eastAsia" w:ascii="仿宋_GB2312" w:eastAsia="仿宋_GB2312"/>
          <w:sz w:val="32"/>
          <w:szCs w:val="32"/>
          <w:lang w:val="zh-CN"/>
        </w:rPr>
        <w:t>136.05</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04C1EE4F">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1EE007A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本年支出136.05万元，其中：基本支出136.05万元，占100.00%；项目支出0.00万元，占0.00%；上缴上级支出0.00万元，占0.00%；经营支出0.00万元，占0.00%；对附属单位补助支出0.00万元，占0.00%。</w:t>
      </w:r>
    </w:p>
    <w:p w14:paraId="13930317">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09EA4647">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136.05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136.05</w:t>
      </w:r>
      <w:r>
        <w:rPr>
          <w:rFonts w:hint="eastAsia" w:ascii="仿宋_GB2312" w:eastAsia="仿宋_GB2312"/>
          <w:sz w:val="32"/>
          <w:szCs w:val="32"/>
        </w:rPr>
        <w:t>万元。财政拨款支出总计</w:t>
      </w:r>
      <w:r>
        <w:rPr>
          <w:rFonts w:hint="eastAsia" w:ascii="仿宋_GB2312" w:eastAsia="仿宋_GB2312"/>
          <w:sz w:val="32"/>
          <w:szCs w:val="32"/>
          <w:lang w:val="zh-CN"/>
        </w:rPr>
        <w:t>136.05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136.05</w:t>
      </w:r>
      <w:r>
        <w:rPr>
          <w:rFonts w:hint="eastAsia" w:ascii="仿宋_GB2312" w:eastAsia="仿宋_GB2312"/>
          <w:sz w:val="32"/>
          <w:szCs w:val="32"/>
        </w:rPr>
        <w:t>万元。</w:t>
      </w:r>
    </w:p>
    <w:p w14:paraId="7B96B8C1">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增加4.17万元</w:t>
      </w:r>
      <w:r>
        <w:rPr>
          <w:rFonts w:hint="eastAsia" w:ascii="仿宋_GB2312" w:eastAsia="仿宋_GB2312"/>
          <w:sz w:val="32"/>
          <w:szCs w:val="32"/>
        </w:rPr>
        <w:t>，增长3.16%,主要原因是：</w:t>
      </w:r>
      <w:r>
        <w:rPr>
          <w:rFonts w:hint="eastAsia" w:ascii="仿宋_GB2312" w:hAnsi="仿宋_GB2312" w:eastAsia="仿宋_GB2312" w:cs="仿宋_GB2312"/>
          <w:sz w:val="32"/>
          <w:szCs w:val="32"/>
        </w:rPr>
        <w:t>本年社保基数上调，人员养老保险、职业年金缴费等增加</w:t>
      </w:r>
      <w:r>
        <w:rPr>
          <w:rFonts w:hint="eastAsia" w:ascii="仿宋_GB2312" w:eastAsia="仿宋_GB2312"/>
          <w:sz w:val="32"/>
          <w:szCs w:val="32"/>
        </w:rPr>
        <w:t>。与年初预算相比，年初预算数</w:t>
      </w:r>
      <w:r>
        <w:rPr>
          <w:rFonts w:hint="eastAsia" w:ascii="仿宋_GB2312" w:eastAsia="仿宋_GB2312"/>
          <w:sz w:val="32"/>
          <w:szCs w:val="32"/>
          <w:lang w:val="zh-CN"/>
        </w:rPr>
        <w:t>728.46</w:t>
      </w:r>
      <w:r>
        <w:rPr>
          <w:rFonts w:hint="eastAsia" w:ascii="仿宋_GB2312" w:eastAsia="仿宋_GB2312"/>
          <w:sz w:val="32"/>
          <w:szCs w:val="32"/>
        </w:rPr>
        <w:t>万元，决算数</w:t>
      </w:r>
      <w:r>
        <w:rPr>
          <w:rFonts w:hint="eastAsia" w:ascii="仿宋_GB2312" w:eastAsia="仿宋_GB2312"/>
          <w:sz w:val="32"/>
          <w:szCs w:val="32"/>
          <w:lang w:val="zh-CN"/>
        </w:rPr>
        <w:t>136.05</w:t>
      </w:r>
      <w:r>
        <w:rPr>
          <w:rFonts w:hint="eastAsia" w:ascii="仿宋_GB2312" w:eastAsia="仿宋_GB2312"/>
          <w:sz w:val="32"/>
          <w:szCs w:val="32"/>
        </w:rPr>
        <w:t>万元，预决算差异率-81.32%，主要原因是：</w:t>
      </w:r>
      <w:r>
        <w:rPr>
          <w:rFonts w:hint="eastAsia" w:ascii="仿宋_GB2312" w:hAnsi="仿宋_GB2312" w:eastAsia="仿宋_GB2312" w:cs="仿宋_GB2312"/>
          <w:sz w:val="32"/>
          <w:szCs w:val="32"/>
        </w:rPr>
        <w:t>本年人员减少，实际人员工资，津贴补贴等相应经费小于年初预算安排金额</w:t>
      </w:r>
      <w:r>
        <w:rPr>
          <w:rFonts w:hint="eastAsia" w:ascii="仿宋_GB2312" w:eastAsia="仿宋_GB2312"/>
          <w:sz w:val="32"/>
          <w:szCs w:val="32"/>
        </w:rPr>
        <w:t>。</w:t>
      </w:r>
    </w:p>
    <w:p w14:paraId="603AAF56">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46654D6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7568BF5">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2023年度一般公共预算财政拨款支出136.05万元，占本年支出合计的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增加4.17万元</w:t>
      </w:r>
      <w:r>
        <w:rPr>
          <w:rFonts w:hint="eastAsia" w:ascii="仿宋_GB2312" w:eastAsia="仿宋_GB2312"/>
          <w:sz w:val="32"/>
          <w:szCs w:val="32"/>
        </w:rPr>
        <w:t>，增长3.16%,主要原因是：</w:t>
      </w:r>
      <w:r>
        <w:rPr>
          <w:rFonts w:hint="eastAsia" w:ascii="仿宋_GB2312" w:hAnsi="仿宋_GB2312" w:eastAsia="仿宋_GB2312" w:cs="仿宋_GB2312"/>
          <w:sz w:val="32"/>
          <w:szCs w:val="32"/>
        </w:rPr>
        <w:t>本年社保基数上调，人员养老保险、职业年金缴费等增加</w:t>
      </w:r>
      <w:r>
        <w:rPr>
          <w:rFonts w:hint="eastAsia" w:ascii="仿宋_GB2312" w:eastAsia="仿宋_GB2312"/>
          <w:sz w:val="32"/>
          <w:szCs w:val="32"/>
        </w:rPr>
        <w:t>。与年初预算相比，年初预算数</w:t>
      </w:r>
      <w:r>
        <w:rPr>
          <w:rFonts w:hint="eastAsia" w:ascii="仿宋_GB2312" w:eastAsia="仿宋_GB2312"/>
          <w:sz w:val="32"/>
          <w:szCs w:val="32"/>
          <w:lang w:val="zh-CN"/>
        </w:rPr>
        <w:t>728.46</w:t>
      </w:r>
      <w:r>
        <w:rPr>
          <w:rFonts w:hint="eastAsia" w:ascii="仿宋_GB2312" w:eastAsia="仿宋_GB2312"/>
          <w:sz w:val="32"/>
          <w:szCs w:val="32"/>
        </w:rPr>
        <w:t>万元，决算数</w:t>
      </w:r>
      <w:r>
        <w:rPr>
          <w:rFonts w:hint="eastAsia" w:ascii="仿宋_GB2312" w:eastAsia="仿宋_GB2312"/>
          <w:sz w:val="32"/>
          <w:szCs w:val="32"/>
          <w:lang w:val="zh-CN"/>
        </w:rPr>
        <w:t>136.05</w:t>
      </w:r>
      <w:r>
        <w:rPr>
          <w:rFonts w:hint="eastAsia" w:ascii="仿宋_GB2312" w:eastAsia="仿宋_GB2312"/>
          <w:sz w:val="32"/>
          <w:szCs w:val="32"/>
        </w:rPr>
        <w:t>万元，预决算差异率</w:t>
      </w:r>
      <w:r>
        <w:rPr>
          <w:rFonts w:hint="eastAsia" w:ascii="仿宋_GB2312" w:eastAsia="仿宋_GB2312"/>
          <w:sz w:val="32"/>
          <w:szCs w:val="32"/>
          <w:lang w:val="zh-CN"/>
        </w:rPr>
        <w:t>-81.32%</w:t>
      </w:r>
      <w:r>
        <w:rPr>
          <w:rFonts w:hint="eastAsia" w:ascii="仿宋_GB2312" w:eastAsia="仿宋_GB2312"/>
          <w:sz w:val="32"/>
          <w:szCs w:val="32"/>
        </w:rPr>
        <w:t>，主要原因是：</w:t>
      </w:r>
      <w:r>
        <w:rPr>
          <w:rFonts w:hint="eastAsia" w:ascii="仿宋_GB2312" w:hAnsi="仿宋_GB2312" w:eastAsia="仿宋_GB2312" w:cs="仿宋_GB2312"/>
          <w:sz w:val="32"/>
          <w:szCs w:val="32"/>
        </w:rPr>
        <w:t>本年人员减少，实际人员工资，津贴补贴等相应经费小于年初预算安排金额</w:t>
      </w:r>
      <w:r>
        <w:rPr>
          <w:rFonts w:hint="eastAsia" w:ascii="仿宋_GB2312" w:eastAsia="仿宋_GB2312"/>
          <w:sz w:val="32"/>
          <w:szCs w:val="32"/>
        </w:rPr>
        <w:t>。</w:t>
      </w:r>
    </w:p>
    <w:p w14:paraId="0E440A4D">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34BECB5">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114.81</w:t>
      </w:r>
      <w:r>
        <w:rPr>
          <w:rFonts w:ascii="仿宋_GB2312" w:eastAsia="仿宋_GB2312"/>
          <w:kern w:val="2"/>
          <w:sz w:val="32"/>
          <w:szCs w:val="32"/>
          <w:lang w:val="zh-CN"/>
        </w:rPr>
        <w:t>万元，占</w:t>
      </w:r>
      <w:r>
        <w:rPr>
          <w:rFonts w:hint="eastAsia" w:ascii="仿宋_GB2312" w:eastAsia="仿宋_GB2312"/>
          <w:kern w:val="2"/>
          <w:sz w:val="32"/>
          <w:szCs w:val="32"/>
          <w:lang w:val="zh-CN"/>
        </w:rPr>
        <w:t>84.39%</w:t>
      </w:r>
      <w:r>
        <w:rPr>
          <w:rFonts w:ascii="仿宋_GB2312" w:eastAsia="仿宋_GB2312"/>
          <w:kern w:val="2"/>
          <w:sz w:val="32"/>
          <w:szCs w:val="32"/>
          <w:lang w:val="zh-CN"/>
        </w:rPr>
        <w:t>；</w:t>
      </w:r>
    </w:p>
    <w:p w14:paraId="72C4D98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21.24</w:t>
      </w:r>
      <w:r>
        <w:rPr>
          <w:rFonts w:ascii="仿宋_GB2312" w:eastAsia="仿宋_GB2312"/>
          <w:kern w:val="2"/>
          <w:sz w:val="32"/>
          <w:szCs w:val="32"/>
          <w:lang w:val="zh-CN"/>
        </w:rPr>
        <w:t>万元，占</w:t>
      </w:r>
      <w:r>
        <w:rPr>
          <w:rFonts w:hint="eastAsia" w:ascii="仿宋_GB2312" w:eastAsia="仿宋_GB2312"/>
          <w:kern w:val="2"/>
          <w:sz w:val="32"/>
          <w:szCs w:val="32"/>
          <w:lang w:val="zh-CN"/>
        </w:rPr>
        <w:t>15.61%。</w:t>
      </w:r>
    </w:p>
    <w:p w14:paraId="04DB1BD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4C6E4E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1.一般公共服务支出（类）群众团体事务（款）行政运行（项）:支出决算数为114.81万元，比上年决算减少8.74万元，下降7.07%，主要原因是：本年人员减少，人员工资，津贴补贴等相应经费减少</w:t>
      </w:r>
      <w:r>
        <w:rPr>
          <w:rFonts w:hint="eastAsia" w:ascii="仿宋_GB2312" w:hAnsi="仿宋_GB2312" w:eastAsia="仿宋_GB2312" w:cs="仿宋_GB2312"/>
          <w:sz w:val="32"/>
          <w:szCs w:val="32"/>
          <w:lang w:val="zh-CN"/>
        </w:rPr>
        <w:t>。</w:t>
      </w:r>
    </w:p>
    <w:p w14:paraId="3D47A8A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职业年金缴费支出（项）:支出决算数为7.70万元，比上年决算增加7.70万元，增长100%，主要原因是：本年退休人员增加，单位职业年金缴费增加</w:t>
      </w:r>
      <w:r>
        <w:rPr>
          <w:rFonts w:hint="eastAsia" w:ascii="仿宋_GB2312" w:hAnsi="仿宋_GB2312" w:eastAsia="仿宋_GB2312" w:cs="仿宋_GB2312"/>
          <w:sz w:val="32"/>
          <w:szCs w:val="32"/>
          <w:lang w:val="zh-CN"/>
        </w:rPr>
        <w:t>。</w:t>
      </w:r>
    </w:p>
    <w:p w14:paraId="011D5CB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13.55万元，比上年决算增加5.22万元，增长62.67%，主要原因是：本年社保基数上调，单位养老保险缴费增加</w:t>
      </w:r>
      <w:r>
        <w:rPr>
          <w:rFonts w:hint="eastAsia" w:ascii="仿宋_GB2312" w:hAnsi="仿宋_GB2312" w:eastAsia="仿宋_GB2312" w:cs="仿宋_GB2312"/>
          <w:sz w:val="32"/>
          <w:szCs w:val="32"/>
          <w:lang w:val="zh-CN"/>
        </w:rPr>
        <w:t>。</w:t>
      </w:r>
    </w:p>
    <w:p w14:paraId="5E79C63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0B63CF9">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136.05万元，其中：人员经费133.99万元，包括：基本工资、津贴补贴、奖金、绩效工资、机关事业单位基本养老保险缴费、职业年金缴费、职工基本医疗保险缴费、公务员医疗补助缴费、其他社会保障缴费、住房公积金、生活补助。</w:t>
      </w:r>
    </w:p>
    <w:p w14:paraId="6A4DC73D">
      <w:pPr>
        <w:ind w:firstLine="640" w:firstLineChars="200"/>
        <w:jc w:val="left"/>
        <w:rPr>
          <w:rFonts w:ascii="仿宋_GB2312" w:eastAsia="仿宋_GB2312"/>
          <w:sz w:val="32"/>
          <w:szCs w:val="32"/>
        </w:rPr>
      </w:pPr>
      <w:r>
        <w:rPr>
          <w:rFonts w:hint="eastAsia" w:ascii="仿宋_GB2312" w:eastAsia="仿宋_GB2312"/>
          <w:sz w:val="32"/>
          <w:szCs w:val="32"/>
        </w:rPr>
        <w:t>公用经费2.06万元，包括：办公费、邮电费、福利费。</w:t>
      </w:r>
    </w:p>
    <w:p w14:paraId="44E1648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5D952A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4D4577F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D17EC4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19D09725">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72432C3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16037E7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1F1852DC">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032F8669">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1441E5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D4DED2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18F6B9F">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2620A208">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4CF4DCB4">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乌鲁木齐市米东区总工会（行政单位和参照公务员法管理事业单位）机关运行经费支出2.06万元，</w:t>
      </w:r>
      <w:r>
        <w:rPr>
          <w:rFonts w:hint="eastAsia" w:ascii="仿宋_GB2312" w:hAnsi="仿宋_GB2312" w:eastAsia="仿宋_GB2312" w:cs="仿宋_GB2312"/>
          <w:sz w:val="32"/>
          <w:szCs w:val="32"/>
          <w:lang w:val="zh-CN"/>
        </w:rPr>
        <w:t>比上年减少7.23万元，下降77.83%，主要原因是：本年租赁费，工会经费和其他交通费减少。</w:t>
      </w:r>
    </w:p>
    <w:p w14:paraId="68C3D063">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B1E4E7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2023年度政府采购支出总额2.06万元，其中：政府采购货物支出2.06万元、政府采购工程支出0.00万元、政府采购服务支出0.00万元。</w:t>
      </w:r>
    </w:p>
    <w:p w14:paraId="14B5FA2A">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授予中小企业合同金额2.06万元，占政府采购支出总额的100.00%，其中：授予小微企业合同金额2.06万元，占政府采购支出总额的100.00%</w:t>
      </w:r>
      <w:r>
        <w:rPr>
          <w:rFonts w:hint="eastAsia" w:ascii="仿宋_GB2312" w:hAnsi="仿宋_GB2312" w:eastAsia="仿宋_GB2312" w:cs="仿宋_GB2312"/>
          <w:sz w:val="32"/>
          <w:szCs w:val="32"/>
        </w:rPr>
        <w:t>。</w:t>
      </w:r>
    </w:p>
    <w:p w14:paraId="244ACE30">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64D4D25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53972C33">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6987886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136.11</w:t>
      </w:r>
      <w:r>
        <w:rPr>
          <w:rFonts w:hint="eastAsia" w:ascii="仿宋_GB2312" w:eastAsia="仿宋_GB2312"/>
          <w:sz w:val="32"/>
          <w:szCs w:val="32"/>
        </w:rPr>
        <w:t>万元，实际执行总额</w:t>
      </w:r>
      <w:r>
        <w:rPr>
          <w:rFonts w:ascii="仿宋_GB2312" w:eastAsia="仿宋_GB2312"/>
          <w:sz w:val="32"/>
          <w:szCs w:val="32"/>
        </w:rPr>
        <w:t>136.05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完成送温暖活动次数2次，激发了全区工会会员的工作热情，促进企业提高生产效率，成功地传递了对目标受众的关怀和温暖，让他们感受到了来自米东区总工会的关心关爱和支持。在保持送温暖活动传统形式的基础上，引入新的元素和活动形式，加强与其他部门的沟通和协调，为送温暖活动创造更好的条件。将送温暖活动纳入单位的日常工作范畴，建立长效机制，确保活动的持续性和稳定性，更好的服务职工；二是</w:t>
      </w:r>
      <w:r>
        <w:rPr>
          <w:rFonts w:hint="eastAsia" w:ascii="仿宋_GB2312" w:eastAsia="仿宋_GB2312"/>
          <w:bCs/>
          <w:sz w:val="32"/>
          <w:szCs w:val="32"/>
        </w:rPr>
        <w:t>开展4次大型职工活动，深入了解职工的需求和兴趣，设计了更具吸引力和针对性的活动内容，在保持传统活动形式的基础上，尝试引入新的元素和活动形式，使活动更具创意和吸引力，更好的丰富职工生活的同时，激发了职工的工作积极性主动性</w:t>
      </w:r>
      <w:r>
        <w:rPr>
          <w:rFonts w:hint="eastAsia" w:ascii="仿宋_GB2312" w:eastAsia="仿宋_GB2312"/>
          <w:sz w:val="32"/>
          <w:szCs w:val="32"/>
        </w:rPr>
        <w:t>。发现的问题及原因：一是预算编制科学性的问题，首先预算编制之合理性相对不足，主要表现在预算调整数较大，年度目标与长期规划衔接的紧密程度需要增强；二是预算绩效完成情况与预算执行进度不匹配，预算执行进度往往落后于预算绩效目标完成情况，项目开支往往是在项目完成到一定阶段后才进行经费支出和进行定量分析。下一步改进措施：一是加强制度解读，提高预算精准度，加强对预算编制的培训和指导，提升工会干部预算绩效意识。工会机关各单位在申请年度经费预算的同时编制预算绩效目标，根据业务工作需求，编实编准编细年度预算，减少年中调整事项，保证预算编制口径的一致性和可比性。完善政府采购需求报送流程，提高政府采购预算编制准确性，把有限的财政资金花在最需要的地方、最有效的地方。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加强预算绩效管理，改善预算执行，进一步夯实工作基础，强化绩效观念，明确监控职责，规范监控程序，对绩效目标实现程度和预算执行进行实行“双监控”，确保绩效目标保质保量实现。预算执行结束后，通过自评和外部评价相结合的方式，对预算执行的经济性、效率性和效益性进行评价，把有限的财政资金花在最需要的地方、最有效的地方，确保重大统计改革任务、重点统计工作的经费需求。多措并举，提高预算执行进度。具体项目自评情况附绩效自评表及自评报告。</w:t>
      </w:r>
    </w:p>
    <w:p w14:paraId="0F87C1A4">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61C603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7078B862">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A4A55A">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C685971">
            <w:pPr>
              <w:jc w:val="center"/>
            </w:pPr>
            <w:r>
              <w:rPr>
                <w:rFonts w:ascii="宋体" w:hAnsi="宋体"/>
                <w:sz w:val="18"/>
              </w:rPr>
              <w:t>米东区总工会机关</w:t>
            </w:r>
          </w:p>
        </w:tc>
        <w:tc>
          <w:tcPr>
            <w:tcW w:w="284" w:type="dxa"/>
            <w:tcBorders>
              <w:top w:val="nil"/>
              <w:left w:val="nil"/>
              <w:bottom w:val="nil"/>
              <w:right w:val="nil"/>
            </w:tcBorders>
            <w:shd w:val="clear" w:color="auto" w:fill="auto"/>
            <w:noWrap/>
            <w:vAlign w:val="center"/>
          </w:tcPr>
          <w:p w14:paraId="7A3C2587">
            <w:pPr>
              <w:widowControl/>
              <w:jc w:val="left"/>
              <w:rPr>
                <w:rFonts w:hint="eastAsia" w:ascii="宋体" w:hAnsi="宋体" w:cs="宋体"/>
                <w:b/>
                <w:bCs/>
                <w:kern w:val="0"/>
                <w:sz w:val="18"/>
                <w:szCs w:val="18"/>
              </w:rPr>
            </w:pPr>
          </w:p>
        </w:tc>
      </w:tr>
      <w:tr w14:paraId="62C0C2F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4669AE">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2512F92">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F9ADB71">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32E14B01">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08072DBF">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1672BDB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AE4302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F19185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0C8CF2C">
            <w:pPr>
              <w:widowControl/>
              <w:jc w:val="center"/>
              <w:rPr>
                <w:rFonts w:hint="eastAsia" w:ascii="宋体" w:hAnsi="宋体" w:cs="宋体"/>
                <w:b/>
                <w:bCs/>
                <w:kern w:val="0"/>
                <w:sz w:val="18"/>
                <w:szCs w:val="18"/>
              </w:rPr>
            </w:pPr>
          </w:p>
        </w:tc>
      </w:tr>
      <w:tr w14:paraId="2584769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03906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BC7E575">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1EBAA720">
            <w:pPr>
              <w:jc w:val="center"/>
            </w:pPr>
            <w:r>
              <w:rPr>
                <w:rFonts w:ascii="宋体" w:hAnsi="宋体"/>
                <w:sz w:val="18"/>
              </w:rPr>
              <w:t>728.4</w:t>
            </w:r>
            <w:r>
              <w:rPr>
                <w:rFonts w:hint="eastAsia" w:ascii="宋体" w:hAnsi="宋体"/>
                <w:sz w:val="18"/>
              </w:rPr>
              <w:t>6</w:t>
            </w:r>
          </w:p>
        </w:tc>
        <w:tc>
          <w:tcPr>
            <w:tcW w:w="1134" w:type="dxa"/>
            <w:tcBorders>
              <w:top w:val="nil"/>
              <w:left w:val="nil"/>
              <w:bottom w:val="single" w:color="auto" w:sz="4" w:space="0"/>
              <w:right w:val="single" w:color="auto" w:sz="4" w:space="0"/>
            </w:tcBorders>
            <w:shd w:val="clear" w:color="auto" w:fill="auto"/>
            <w:vAlign w:val="center"/>
          </w:tcPr>
          <w:p w14:paraId="79AA467F">
            <w:pPr>
              <w:jc w:val="center"/>
            </w:pPr>
            <w:r>
              <w:rPr>
                <w:rFonts w:ascii="宋体" w:hAnsi="宋体"/>
                <w:sz w:val="18"/>
              </w:rPr>
              <w:t>136.11</w:t>
            </w:r>
          </w:p>
        </w:tc>
        <w:tc>
          <w:tcPr>
            <w:tcW w:w="2126" w:type="dxa"/>
            <w:tcBorders>
              <w:top w:val="nil"/>
              <w:left w:val="nil"/>
              <w:bottom w:val="single" w:color="auto" w:sz="4" w:space="0"/>
              <w:right w:val="single" w:color="auto" w:sz="4" w:space="0"/>
            </w:tcBorders>
            <w:shd w:val="clear" w:color="auto" w:fill="auto"/>
            <w:vAlign w:val="center"/>
          </w:tcPr>
          <w:p w14:paraId="145F681B">
            <w:pPr>
              <w:jc w:val="center"/>
            </w:pPr>
            <w:r>
              <w:rPr>
                <w:rFonts w:ascii="宋体" w:hAnsi="宋体"/>
                <w:sz w:val="18"/>
              </w:rPr>
              <w:t>136.05</w:t>
            </w:r>
          </w:p>
        </w:tc>
        <w:tc>
          <w:tcPr>
            <w:tcW w:w="1004" w:type="dxa"/>
            <w:tcBorders>
              <w:top w:val="nil"/>
              <w:left w:val="nil"/>
              <w:bottom w:val="single" w:color="auto" w:sz="4" w:space="0"/>
              <w:right w:val="single" w:color="auto" w:sz="4" w:space="0"/>
            </w:tcBorders>
            <w:shd w:val="clear" w:color="auto" w:fill="auto"/>
            <w:vAlign w:val="center"/>
          </w:tcPr>
          <w:p w14:paraId="2B2991ED">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74CFFAD3">
            <w:pPr>
              <w:jc w:val="center"/>
            </w:pPr>
            <w:r>
              <w:rPr>
                <w:rFonts w:ascii="宋体" w:hAnsi="宋体"/>
                <w:sz w:val="18"/>
              </w:rPr>
              <w:t>99.96%</w:t>
            </w:r>
          </w:p>
        </w:tc>
        <w:tc>
          <w:tcPr>
            <w:tcW w:w="720" w:type="dxa"/>
            <w:tcBorders>
              <w:top w:val="nil"/>
              <w:left w:val="nil"/>
              <w:bottom w:val="single" w:color="auto" w:sz="4" w:space="0"/>
              <w:right w:val="single" w:color="auto" w:sz="4" w:space="0"/>
            </w:tcBorders>
            <w:shd w:val="clear" w:color="auto" w:fill="auto"/>
            <w:vAlign w:val="center"/>
          </w:tcPr>
          <w:p w14:paraId="69D666AA">
            <w:pPr>
              <w:jc w:val="center"/>
            </w:pPr>
            <w:r>
              <w:rPr>
                <w:rFonts w:ascii="宋体" w:hAnsi="宋体"/>
                <w:sz w:val="18"/>
              </w:rPr>
              <w:t>9.99</w:t>
            </w:r>
          </w:p>
        </w:tc>
        <w:tc>
          <w:tcPr>
            <w:tcW w:w="284" w:type="dxa"/>
            <w:tcBorders>
              <w:top w:val="nil"/>
              <w:left w:val="nil"/>
              <w:bottom w:val="nil"/>
              <w:right w:val="nil"/>
            </w:tcBorders>
            <w:shd w:val="clear" w:color="auto" w:fill="auto"/>
            <w:noWrap/>
            <w:vAlign w:val="center"/>
          </w:tcPr>
          <w:p w14:paraId="612D64E4">
            <w:pPr>
              <w:widowControl/>
              <w:jc w:val="center"/>
              <w:rPr>
                <w:rFonts w:hint="eastAsia" w:ascii="宋体" w:hAnsi="宋体" w:cs="宋体"/>
                <w:b/>
                <w:bCs/>
                <w:kern w:val="0"/>
                <w:sz w:val="18"/>
                <w:szCs w:val="18"/>
              </w:rPr>
            </w:pPr>
          </w:p>
        </w:tc>
      </w:tr>
      <w:tr w14:paraId="5BAB732A">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C5563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E887482">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3EA8FD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89D2B88">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09BE6FB">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7F91E94">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B16BCC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253F94D">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A8FDA02">
            <w:pPr>
              <w:widowControl/>
              <w:jc w:val="center"/>
              <w:rPr>
                <w:rFonts w:hint="eastAsia" w:ascii="宋体" w:hAnsi="宋体" w:cs="宋体"/>
                <w:kern w:val="0"/>
                <w:sz w:val="18"/>
                <w:szCs w:val="18"/>
              </w:rPr>
            </w:pPr>
          </w:p>
        </w:tc>
      </w:tr>
      <w:tr w14:paraId="3448AE7E">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6DF67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493FAE9">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C0D766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B849C13">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964370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149FF53E">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78FFC0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9C379D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B26383F">
            <w:pPr>
              <w:widowControl/>
              <w:jc w:val="center"/>
              <w:rPr>
                <w:rFonts w:hint="eastAsia" w:ascii="宋体" w:hAnsi="宋体" w:cs="宋体"/>
                <w:kern w:val="0"/>
                <w:sz w:val="18"/>
                <w:szCs w:val="18"/>
              </w:rPr>
            </w:pPr>
          </w:p>
        </w:tc>
      </w:tr>
      <w:tr w14:paraId="5FD22D17">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35AD6F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EF493C0">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7D4E91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DFE137B">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73E3B8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97DE4A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DB9F99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2A8F9A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77EA023">
            <w:pPr>
              <w:widowControl/>
              <w:jc w:val="center"/>
              <w:rPr>
                <w:rFonts w:hint="eastAsia" w:ascii="宋体" w:hAnsi="宋体" w:cs="宋体"/>
                <w:kern w:val="0"/>
                <w:sz w:val="18"/>
                <w:szCs w:val="18"/>
              </w:rPr>
            </w:pPr>
          </w:p>
        </w:tc>
      </w:tr>
      <w:tr w14:paraId="5E2B1523">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18A50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5808118">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DE5575A">
            <w:pPr>
              <w:jc w:val="center"/>
            </w:pPr>
            <w:r>
              <w:rPr>
                <w:rFonts w:ascii="宋体" w:hAnsi="宋体"/>
                <w:sz w:val="18"/>
              </w:rPr>
              <w:t>728.4</w:t>
            </w:r>
            <w:r>
              <w:rPr>
                <w:rFonts w:hint="eastAsia" w:ascii="宋体" w:hAnsi="宋体"/>
                <w:sz w:val="18"/>
              </w:rPr>
              <w:t>6</w:t>
            </w:r>
          </w:p>
        </w:tc>
        <w:tc>
          <w:tcPr>
            <w:tcW w:w="1134" w:type="dxa"/>
            <w:tcBorders>
              <w:top w:val="nil"/>
              <w:left w:val="nil"/>
              <w:bottom w:val="single" w:color="auto" w:sz="4" w:space="0"/>
              <w:right w:val="single" w:color="auto" w:sz="4" w:space="0"/>
            </w:tcBorders>
            <w:shd w:val="clear" w:color="auto" w:fill="auto"/>
            <w:vAlign w:val="center"/>
          </w:tcPr>
          <w:p w14:paraId="2254E52C">
            <w:pPr>
              <w:jc w:val="center"/>
            </w:pPr>
            <w:r>
              <w:rPr>
                <w:rFonts w:ascii="宋体" w:hAnsi="宋体"/>
                <w:sz w:val="18"/>
              </w:rPr>
              <w:t>136.11</w:t>
            </w:r>
          </w:p>
        </w:tc>
        <w:tc>
          <w:tcPr>
            <w:tcW w:w="2126" w:type="dxa"/>
            <w:tcBorders>
              <w:top w:val="nil"/>
              <w:left w:val="nil"/>
              <w:bottom w:val="single" w:color="auto" w:sz="4" w:space="0"/>
              <w:right w:val="single" w:color="auto" w:sz="4" w:space="0"/>
            </w:tcBorders>
            <w:shd w:val="clear" w:color="auto" w:fill="auto"/>
            <w:vAlign w:val="center"/>
          </w:tcPr>
          <w:p w14:paraId="2DE89BC8">
            <w:pPr>
              <w:jc w:val="center"/>
            </w:pPr>
            <w:r>
              <w:rPr>
                <w:rFonts w:ascii="宋体" w:hAnsi="宋体"/>
                <w:sz w:val="18"/>
              </w:rPr>
              <w:t>136.05</w:t>
            </w:r>
          </w:p>
        </w:tc>
        <w:tc>
          <w:tcPr>
            <w:tcW w:w="1004" w:type="dxa"/>
            <w:tcBorders>
              <w:top w:val="nil"/>
              <w:left w:val="nil"/>
              <w:bottom w:val="single" w:color="auto" w:sz="4" w:space="0"/>
              <w:right w:val="single" w:color="auto" w:sz="4" w:space="0"/>
            </w:tcBorders>
            <w:shd w:val="clear" w:color="auto" w:fill="auto"/>
            <w:vAlign w:val="center"/>
          </w:tcPr>
          <w:p w14:paraId="4FAD167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E4449D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CD0CEA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1950D46">
            <w:pPr>
              <w:widowControl/>
              <w:jc w:val="center"/>
              <w:rPr>
                <w:rFonts w:hint="eastAsia" w:ascii="宋体" w:hAnsi="宋体" w:cs="宋体"/>
                <w:kern w:val="0"/>
                <w:sz w:val="18"/>
                <w:szCs w:val="18"/>
              </w:rPr>
            </w:pPr>
          </w:p>
        </w:tc>
      </w:tr>
      <w:tr w14:paraId="4CC00F89">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D6D05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D0326F2">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CF9D22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6FF0904">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109ADCE">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B5D790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BF8B61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F6D90A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9542946">
            <w:pPr>
              <w:widowControl/>
              <w:jc w:val="center"/>
              <w:rPr>
                <w:rFonts w:hint="eastAsia" w:ascii="宋体" w:hAnsi="宋体" w:cs="宋体"/>
                <w:kern w:val="0"/>
                <w:sz w:val="18"/>
                <w:szCs w:val="18"/>
              </w:rPr>
            </w:pPr>
          </w:p>
        </w:tc>
      </w:tr>
      <w:tr w14:paraId="3D0265B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20E1F1">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2B88DF53">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3CEC47E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4F8F06BD">
            <w:pPr>
              <w:widowControl/>
              <w:jc w:val="left"/>
              <w:rPr>
                <w:rFonts w:hint="eastAsia" w:ascii="宋体" w:hAnsi="宋体" w:cs="宋体"/>
                <w:b/>
                <w:bCs/>
                <w:kern w:val="0"/>
                <w:sz w:val="18"/>
                <w:szCs w:val="18"/>
              </w:rPr>
            </w:pPr>
          </w:p>
        </w:tc>
      </w:tr>
      <w:tr w14:paraId="01EAF17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05DEC6">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1C4026FA">
            <w:pPr>
              <w:jc w:val="left"/>
            </w:pPr>
            <w:r>
              <w:rPr>
                <w:rFonts w:ascii="宋体" w:hAnsi="宋体"/>
                <w:sz w:val="18"/>
              </w:rPr>
              <w:t>全面贯彻落实党的二十大精神，紧紧围绕全区高质量发展大局，着力强化职工思想政治引领，着力提升职工维权服务实效，着力推进工会改革纵深发展，着力提高工会服务职工工作水平。</w:t>
            </w:r>
          </w:p>
        </w:tc>
        <w:tc>
          <w:tcPr>
            <w:tcW w:w="4689" w:type="dxa"/>
            <w:gridSpan w:val="4"/>
            <w:tcBorders>
              <w:top w:val="single" w:color="auto" w:sz="4" w:space="0"/>
              <w:left w:val="nil"/>
              <w:bottom w:val="single" w:color="auto" w:sz="4" w:space="0"/>
              <w:right w:val="single" w:color="auto" w:sz="4" w:space="0"/>
            </w:tcBorders>
            <w:shd w:val="clear" w:color="auto" w:fill="auto"/>
          </w:tcPr>
          <w:p w14:paraId="6423FE83">
            <w:pPr>
              <w:jc w:val="left"/>
            </w:pPr>
            <w:r>
              <w:rPr>
                <w:rFonts w:ascii="宋体" w:hAnsi="宋体"/>
                <w:sz w:val="18"/>
              </w:rPr>
              <w:t>全面加强党的政治建设工作，深入开展</w:t>
            </w:r>
            <w:bookmarkStart w:id="48" w:name="_GoBack"/>
            <w:bookmarkEnd w:id="48"/>
            <w:r>
              <w:rPr>
                <w:rFonts w:hint="eastAsia" w:ascii="宋体" w:hAnsi="宋体"/>
                <w:sz w:val="18"/>
                <w:lang w:eastAsia="zh-CN"/>
              </w:rPr>
              <w:t>党史学习教育</w:t>
            </w:r>
            <w:r>
              <w:rPr>
                <w:rFonts w:ascii="宋体" w:hAnsi="宋体"/>
                <w:sz w:val="18"/>
              </w:rPr>
              <w:t>。,增强工会组织活动、维权服务，打造职工服务阵地，加大困难职工帮扶力度。深入开展劳动技能大赛。开展“为群众办实事”活动.</w:t>
            </w:r>
          </w:p>
        </w:tc>
        <w:tc>
          <w:tcPr>
            <w:tcW w:w="284" w:type="dxa"/>
            <w:tcBorders>
              <w:top w:val="nil"/>
              <w:left w:val="nil"/>
              <w:bottom w:val="nil"/>
              <w:right w:val="nil"/>
            </w:tcBorders>
            <w:shd w:val="clear" w:color="auto" w:fill="auto"/>
            <w:noWrap/>
            <w:vAlign w:val="center"/>
          </w:tcPr>
          <w:p w14:paraId="53E7E28C">
            <w:pPr>
              <w:widowControl/>
              <w:jc w:val="left"/>
              <w:rPr>
                <w:rFonts w:hint="eastAsia" w:ascii="宋体" w:hAnsi="宋体" w:cs="宋体"/>
                <w:kern w:val="0"/>
                <w:sz w:val="18"/>
                <w:szCs w:val="18"/>
              </w:rPr>
            </w:pPr>
          </w:p>
        </w:tc>
      </w:tr>
      <w:tr w14:paraId="041357E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D3E75EA">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03E6C5F">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5D06B9B">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27BCCCC9">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11090CB2">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338BBB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5285438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5D7C5DC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7272717">
            <w:pPr>
              <w:widowControl/>
              <w:jc w:val="left"/>
              <w:rPr>
                <w:rFonts w:hint="eastAsia" w:ascii="宋体" w:hAnsi="宋体" w:cs="宋体"/>
                <w:b/>
                <w:bCs/>
                <w:kern w:val="0"/>
                <w:sz w:val="18"/>
                <w:szCs w:val="18"/>
              </w:rPr>
            </w:pPr>
          </w:p>
        </w:tc>
      </w:tr>
      <w:tr w14:paraId="4FABFCB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51F00E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17226D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348AAE5">
            <w:pPr>
              <w:jc w:val="center"/>
            </w:pPr>
            <w:r>
              <w:rPr>
                <w:rFonts w:ascii="宋体" w:hAnsi="宋体"/>
                <w:sz w:val="18"/>
              </w:rPr>
              <w:t>送温暖活动次数</w:t>
            </w:r>
          </w:p>
        </w:tc>
        <w:tc>
          <w:tcPr>
            <w:tcW w:w="1134" w:type="dxa"/>
            <w:tcBorders>
              <w:top w:val="nil"/>
              <w:left w:val="nil"/>
              <w:bottom w:val="single" w:color="auto" w:sz="4" w:space="0"/>
              <w:right w:val="single" w:color="auto" w:sz="4" w:space="0"/>
            </w:tcBorders>
            <w:shd w:val="clear" w:color="auto" w:fill="auto"/>
            <w:noWrap/>
            <w:vAlign w:val="center"/>
          </w:tcPr>
          <w:p w14:paraId="25D0F427">
            <w:pPr>
              <w:jc w:val="center"/>
            </w:pPr>
            <w:r>
              <w:rPr>
                <w:rFonts w:ascii="宋体" w:hAnsi="宋体"/>
                <w:sz w:val="18"/>
              </w:rPr>
              <w:t>&gt;=2次</w:t>
            </w:r>
          </w:p>
        </w:tc>
        <w:tc>
          <w:tcPr>
            <w:tcW w:w="2126" w:type="dxa"/>
            <w:tcBorders>
              <w:top w:val="nil"/>
              <w:left w:val="nil"/>
              <w:bottom w:val="single" w:color="auto" w:sz="4" w:space="0"/>
              <w:right w:val="single" w:color="auto" w:sz="4" w:space="0"/>
            </w:tcBorders>
            <w:shd w:val="clear" w:color="auto" w:fill="auto"/>
            <w:noWrap/>
            <w:vAlign w:val="center"/>
          </w:tcPr>
          <w:p w14:paraId="5C33314A">
            <w:pPr>
              <w:jc w:val="center"/>
            </w:pPr>
            <w:r>
              <w:rPr>
                <w:rFonts w:ascii="宋体" w:hAnsi="宋体"/>
                <w:sz w:val="18"/>
              </w:rPr>
              <w:t>新疆工会送温暖资金使用管理实施细则</w:t>
            </w:r>
          </w:p>
        </w:tc>
        <w:tc>
          <w:tcPr>
            <w:tcW w:w="1004" w:type="dxa"/>
            <w:tcBorders>
              <w:top w:val="nil"/>
              <w:left w:val="nil"/>
              <w:bottom w:val="single" w:color="auto" w:sz="4" w:space="0"/>
              <w:right w:val="single" w:color="auto" w:sz="4" w:space="0"/>
            </w:tcBorders>
            <w:shd w:val="clear" w:color="auto" w:fill="auto"/>
            <w:noWrap/>
            <w:vAlign w:val="center"/>
          </w:tcPr>
          <w:p w14:paraId="32F6DBC5">
            <w:pPr>
              <w:jc w:val="center"/>
            </w:pPr>
            <w:r>
              <w:rPr>
                <w:rFonts w:ascii="宋体" w:hAnsi="宋体"/>
                <w:sz w:val="18"/>
              </w:rPr>
              <w:t>2次</w:t>
            </w:r>
          </w:p>
        </w:tc>
        <w:tc>
          <w:tcPr>
            <w:tcW w:w="839" w:type="dxa"/>
            <w:tcBorders>
              <w:top w:val="nil"/>
              <w:left w:val="nil"/>
              <w:bottom w:val="single" w:color="auto" w:sz="4" w:space="0"/>
              <w:right w:val="single" w:color="auto" w:sz="4" w:space="0"/>
            </w:tcBorders>
            <w:shd w:val="clear" w:color="auto" w:fill="auto"/>
            <w:noWrap/>
            <w:vAlign w:val="center"/>
          </w:tcPr>
          <w:p w14:paraId="4359E005">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9F3F648">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F3C1986">
            <w:pPr>
              <w:widowControl/>
              <w:jc w:val="center"/>
              <w:rPr>
                <w:rFonts w:hint="eastAsia" w:ascii="宋体" w:hAnsi="宋体" w:cs="宋体"/>
                <w:kern w:val="0"/>
                <w:sz w:val="18"/>
                <w:szCs w:val="18"/>
              </w:rPr>
            </w:pPr>
          </w:p>
        </w:tc>
      </w:tr>
      <w:tr w14:paraId="0C3F57D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40A42C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8AFDD3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DC7B2BF">
            <w:pPr>
              <w:jc w:val="center"/>
            </w:pPr>
            <w:r>
              <w:rPr>
                <w:rFonts w:ascii="宋体" w:hAnsi="宋体"/>
                <w:sz w:val="18"/>
              </w:rPr>
              <w:t>大型职工活动</w:t>
            </w:r>
          </w:p>
        </w:tc>
        <w:tc>
          <w:tcPr>
            <w:tcW w:w="1134" w:type="dxa"/>
            <w:tcBorders>
              <w:top w:val="nil"/>
              <w:left w:val="nil"/>
              <w:bottom w:val="single" w:color="auto" w:sz="4" w:space="0"/>
              <w:right w:val="single" w:color="auto" w:sz="4" w:space="0"/>
            </w:tcBorders>
            <w:shd w:val="clear" w:color="auto" w:fill="auto"/>
            <w:noWrap/>
            <w:vAlign w:val="center"/>
          </w:tcPr>
          <w:p w14:paraId="312122B4">
            <w:pPr>
              <w:jc w:val="center"/>
            </w:pPr>
            <w:r>
              <w:rPr>
                <w:rFonts w:ascii="宋体" w:hAnsi="宋体"/>
                <w:sz w:val="18"/>
              </w:rPr>
              <w:t>&gt;=4次</w:t>
            </w:r>
          </w:p>
        </w:tc>
        <w:tc>
          <w:tcPr>
            <w:tcW w:w="2126" w:type="dxa"/>
            <w:tcBorders>
              <w:top w:val="nil"/>
              <w:left w:val="nil"/>
              <w:bottom w:val="single" w:color="auto" w:sz="4" w:space="0"/>
              <w:right w:val="single" w:color="auto" w:sz="4" w:space="0"/>
            </w:tcBorders>
            <w:shd w:val="clear" w:color="auto" w:fill="auto"/>
            <w:noWrap/>
            <w:vAlign w:val="center"/>
          </w:tcPr>
          <w:p w14:paraId="5F3D1AA5">
            <w:pPr>
              <w:jc w:val="center"/>
            </w:pPr>
            <w:r>
              <w:rPr>
                <w:rFonts w:ascii="宋体" w:hAnsi="宋体"/>
                <w:sz w:val="18"/>
              </w:rPr>
              <w:t>新疆维吾尔自治区基层工会经费收支管理办法实施细则</w:t>
            </w:r>
          </w:p>
        </w:tc>
        <w:tc>
          <w:tcPr>
            <w:tcW w:w="1004" w:type="dxa"/>
            <w:tcBorders>
              <w:top w:val="nil"/>
              <w:left w:val="nil"/>
              <w:bottom w:val="single" w:color="auto" w:sz="4" w:space="0"/>
              <w:right w:val="single" w:color="auto" w:sz="4" w:space="0"/>
            </w:tcBorders>
            <w:shd w:val="clear" w:color="auto" w:fill="auto"/>
            <w:noWrap/>
            <w:vAlign w:val="center"/>
          </w:tcPr>
          <w:p w14:paraId="4634222E">
            <w:pPr>
              <w:jc w:val="center"/>
            </w:pPr>
            <w:r>
              <w:rPr>
                <w:rFonts w:ascii="宋体" w:hAnsi="宋体"/>
                <w:sz w:val="18"/>
              </w:rPr>
              <w:t>4次</w:t>
            </w:r>
          </w:p>
        </w:tc>
        <w:tc>
          <w:tcPr>
            <w:tcW w:w="839" w:type="dxa"/>
            <w:tcBorders>
              <w:top w:val="nil"/>
              <w:left w:val="nil"/>
              <w:bottom w:val="single" w:color="auto" w:sz="4" w:space="0"/>
              <w:right w:val="single" w:color="auto" w:sz="4" w:space="0"/>
            </w:tcBorders>
            <w:shd w:val="clear" w:color="auto" w:fill="auto"/>
            <w:noWrap/>
            <w:vAlign w:val="center"/>
          </w:tcPr>
          <w:p w14:paraId="59100A5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7688377">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F88555A">
            <w:pPr>
              <w:widowControl/>
              <w:jc w:val="center"/>
              <w:rPr>
                <w:rFonts w:hint="eastAsia" w:ascii="宋体" w:hAnsi="宋体" w:cs="宋体"/>
                <w:kern w:val="0"/>
                <w:sz w:val="18"/>
                <w:szCs w:val="18"/>
              </w:rPr>
            </w:pPr>
          </w:p>
        </w:tc>
      </w:tr>
      <w:tr w14:paraId="3A5C407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5193CB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43A935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63260AB">
            <w:pPr>
              <w:jc w:val="center"/>
            </w:pPr>
            <w:r>
              <w:rPr>
                <w:rFonts w:ascii="宋体" w:hAnsi="宋体"/>
                <w:sz w:val="18"/>
              </w:rPr>
              <w:t>慰问劳模活动覆盖率</w:t>
            </w:r>
          </w:p>
        </w:tc>
        <w:tc>
          <w:tcPr>
            <w:tcW w:w="1134" w:type="dxa"/>
            <w:tcBorders>
              <w:top w:val="nil"/>
              <w:left w:val="nil"/>
              <w:bottom w:val="single" w:color="auto" w:sz="4" w:space="0"/>
              <w:right w:val="single" w:color="auto" w:sz="4" w:space="0"/>
            </w:tcBorders>
            <w:shd w:val="clear" w:color="auto" w:fill="auto"/>
            <w:noWrap/>
            <w:vAlign w:val="center"/>
          </w:tcPr>
          <w:p w14:paraId="45B35C95">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0CF39F84">
            <w:pPr>
              <w:jc w:val="center"/>
            </w:pPr>
            <w:r>
              <w:rPr>
                <w:rFonts w:ascii="宋体" w:hAnsi="宋体"/>
                <w:sz w:val="18"/>
              </w:rPr>
              <w:t>2016年乌市劳模服务管理办法</w:t>
            </w:r>
          </w:p>
        </w:tc>
        <w:tc>
          <w:tcPr>
            <w:tcW w:w="1004" w:type="dxa"/>
            <w:tcBorders>
              <w:top w:val="nil"/>
              <w:left w:val="nil"/>
              <w:bottom w:val="single" w:color="auto" w:sz="4" w:space="0"/>
              <w:right w:val="single" w:color="auto" w:sz="4" w:space="0"/>
            </w:tcBorders>
            <w:shd w:val="clear" w:color="auto" w:fill="auto"/>
            <w:noWrap/>
            <w:vAlign w:val="center"/>
          </w:tcPr>
          <w:p w14:paraId="793B4731">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7227248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2B02C86">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BA8EB6C">
            <w:pPr>
              <w:widowControl/>
              <w:jc w:val="center"/>
              <w:rPr>
                <w:rFonts w:hint="eastAsia" w:ascii="宋体" w:hAnsi="宋体" w:cs="宋体"/>
                <w:kern w:val="0"/>
                <w:sz w:val="18"/>
                <w:szCs w:val="18"/>
              </w:rPr>
            </w:pPr>
          </w:p>
        </w:tc>
      </w:tr>
      <w:tr w14:paraId="38178C46">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0020D6FE">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06E47AA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64160B7">
            <w:pPr>
              <w:jc w:val="center"/>
            </w:pPr>
            <w:r>
              <w:rPr>
                <w:rFonts w:ascii="宋体" w:hAnsi="宋体"/>
                <w:sz w:val="18"/>
              </w:rPr>
              <w:t>99.99分</w:t>
            </w:r>
          </w:p>
        </w:tc>
        <w:tc>
          <w:tcPr>
            <w:tcW w:w="284" w:type="dxa"/>
            <w:tcBorders>
              <w:top w:val="nil"/>
              <w:left w:val="nil"/>
              <w:bottom w:val="nil"/>
              <w:right w:val="nil"/>
            </w:tcBorders>
            <w:shd w:val="clear" w:color="auto" w:fill="auto"/>
            <w:noWrap/>
            <w:vAlign w:val="center"/>
          </w:tcPr>
          <w:p w14:paraId="1527EF64">
            <w:pPr>
              <w:widowControl/>
              <w:jc w:val="left"/>
              <w:rPr>
                <w:rFonts w:hint="eastAsia" w:ascii="宋体" w:hAnsi="宋体" w:cs="宋体"/>
                <w:kern w:val="0"/>
                <w:sz w:val="18"/>
                <w:szCs w:val="18"/>
              </w:rPr>
            </w:pPr>
          </w:p>
        </w:tc>
      </w:tr>
    </w:tbl>
    <w:p w14:paraId="7A6D2E2C">
      <w:pPr>
        <w:ind w:firstLine="181" w:firstLineChars="100"/>
        <w:jc w:val="left"/>
        <w:rPr>
          <w:rFonts w:hint="eastAsia" w:ascii="宋体" w:hAnsi="宋体" w:cs="宋体"/>
          <w:b/>
          <w:bCs/>
          <w:kern w:val="0"/>
          <w:sz w:val="18"/>
          <w:szCs w:val="18"/>
        </w:rPr>
      </w:pPr>
    </w:p>
    <w:p w14:paraId="49913888">
      <w:pPr>
        <w:ind w:firstLine="320" w:firstLineChars="100"/>
        <w:jc w:val="left"/>
        <w:rPr>
          <w:rFonts w:ascii="仿宋_GB2312" w:eastAsia="仿宋_GB2312"/>
          <w:sz w:val="32"/>
          <w:szCs w:val="32"/>
        </w:rPr>
      </w:pPr>
      <w:r>
        <w:rPr>
          <w:rFonts w:hint="eastAsia" w:ascii="黑体" w:hAnsi="黑体" w:eastAsia="黑体" w:cs="宋体"/>
          <w:bCs/>
          <w:kern w:val="0"/>
          <w:sz w:val="32"/>
          <w:szCs w:val="32"/>
        </w:rPr>
        <w:t>十二、其他需说明的事项</w:t>
      </w:r>
    </w:p>
    <w:p w14:paraId="63329EA2">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27FC95E7">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200F8BB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F6FF2A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4BCBE3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7DA441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B73B0E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0555EE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625F85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9B40AB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0B559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CE020A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D52995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4D1683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096BB2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96861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6A3A9D3">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FB6F2B2">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088977DA">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1CC789DD">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2E00A872">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6A4AE9FD">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56FF812D">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230B754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099E63FC">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1C6E697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2D055BD">
      <w:pPr>
        <w:ind w:firstLine="640" w:firstLineChars="200"/>
        <w:rPr>
          <w:rFonts w:ascii="仿宋_GB2312" w:eastAsia="仿宋_GB2312"/>
          <w:sz w:val="32"/>
          <w:szCs w:val="32"/>
        </w:rPr>
      </w:pPr>
    </w:p>
    <w:p w14:paraId="1D762242">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EA30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BBB44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3BBB44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D27BD5"/>
    <w:rsid w:val="00110A7B"/>
    <w:rsid w:val="00213C59"/>
    <w:rsid w:val="003210CE"/>
    <w:rsid w:val="00532107"/>
    <w:rsid w:val="0056707D"/>
    <w:rsid w:val="005766B0"/>
    <w:rsid w:val="006D73C0"/>
    <w:rsid w:val="00B70D59"/>
    <w:rsid w:val="00CC4DF7"/>
    <w:rsid w:val="00D02D08"/>
    <w:rsid w:val="00D27BD5"/>
    <w:rsid w:val="00D41DD2"/>
    <w:rsid w:val="00D55605"/>
    <w:rsid w:val="00E924C4"/>
    <w:rsid w:val="00F52A8D"/>
    <w:rsid w:val="00F57376"/>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5A53ED3"/>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BA7CCA"/>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BDF2B2D"/>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1230</Words>
  <Characters>7016</Characters>
  <Lines>58</Lines>
  <Paragraphs>16</Paragraphs>
  <TotalTime>37</TotalTime>
  <ScaleCrop>false</ScaleCrop>
  <LinksUpToDate>false</LinksUpToDate>
  <CharactersWithSpaces>8230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2024-11-19T09:16:09Z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