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第94小学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第94小学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刘菊花</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2024年05月22日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（1）该项目实施背景：根据公用经费（小学）乌财科教【2022】67号-75号-关于提前下达2023年教育直达资金预算的通知，进一步完善城乡义务教育经费保障机制，推动城乡义务教育均衡发展。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随着公用经费支出中对校本教研和教师培训经费保障的进一步强化，为教师提供了更多的学习、培训机会，教师专业化水平和综合素质不断提升。③主要用于学校绿化及新建学校班级校园文化建设、学校硬件设施的完善和修缮、学生体检费、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提高教师的教育教学理论水平和实践能力，教师能够更好地适应教育改革和发展的需要；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（1）该项目资金投入情况：经乌财科教【2022】67号-75号文件批准，项目系2023年自治区及中央资金，共安排预算52.87万元，2023年年中没有预算调整。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52.87万元；②预算投入计划用于部分支付本单位学校安保服务费，部分支付维修学校设施，部分支付学校水电费用，该项目改善我校办学硬件设施，有效改善校园环境，明显提高办学条件，推动义务教育均衡化发展。每个方向的预算投入情况：学校维修费用、维修制作宣传版面、其余硬件设施费用、办公用品费、电费、水费、电话费、暖气费、教师用书等等。执行情况：已支付部分学校维修款项、支付部分宣传版面款项、办公用品费、其余硬件设施费用、支付水电暖费，资金实际执行情况水费支付9.5万元；电话费支付1.7万元；支付2个月安保服务费3万元；支付公用取暖费5万元；学校广告服务费、购买图书用品、消防设备、乌鲁木齐晚报、党报党刊以及办公用品费约13.4万元等；③预算执行率：48.17%。</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学校安保服务费，部分支付维修学校设施，部分支付学校水电费用，未全额拨付，该项目改善我校办学硬件设施，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完成享受教学条件改善学生数524人、学校供暖面积2417平方米、学校供暖面积覆盖率100%、聘用保安人数6人、学校全年正常运转率100%，提高了社会服务发展能力，提升了学生综合素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公用经费（小学）乌财科教【2022】67号-75号-关于提前下达2023年教育直达资金预算的通知》该项目年度预期目标通过缴纳全年公用暖气费，支付6名保安12个月学校安保服务费，可改善我校办学硬件设施，有效改善校园环境，明显提高办学条件，推动义务教育均衡化发展，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该项目执行过程中水费支付9.5万元；电话费支付1.7万元；支付2个月安保服务费3万元；支付公用取暖费5万元；学校广告服务费、购买图书用品、消防设备、乌鲁木齐晚报、党报党刊以及办公用品费约13.4万元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最后，学校公用经费支出费用通过财政系统数据进行采集，佐证材料通过发票、原始凭证、会议纪要等进行说明，确保数据的准确性和完整性。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绩效评价的对象是公用经费（小学）乌财科教【2022】67号-75号-关于提前下达2023年教育直达资金预算的通知。项目实现的产出情况：项目产出指标由3个二级指标和7个三级指标构成，数量指标“享受教学条件改善学生数”的目标值是&gt;=524人，2023年度我单位实际完成559人，数量指标“学校供暖面积”的目标值是=2417平方米，2023年度我单位实际供暖面积2417平方米，数量指标“聘用保安人数”的目标值是&gt;=6人，2023年度我单位实际完成6人。学校供暖覆盖率：学校供暖面积为2417平方米，实际供暖面积为2417平方米。聘用保安持证上岗率：保安持证上岗数为6人，实际保安持证上岗数为6人。“学校全年正常运转率”：保证学校教学设备以及改善教学条件，满足学校的日常公用经费，学校全年正常运转率100%。“项目完成时间”：项目完成时间12个月。“项目预算控制率”：本项目实际支出32.6万元，无超支情况。取得的效益情况项目效益指标由2个二级指标和2个三级指标构成，项目效益“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满意度指标“学生满意度”：评价指标“学生满意度”，指标值：≥95%，实际完成值：100%。主要经验及做法：1.注重加强对专项资金项目立项、预算编制工作的管理。在编报项目预算时制定详细的项目推进计划，明确分工，责任到人，以保证专项资金能够保质保量执行到位。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3.加强绩效目标管理。在项目完成的动态过程中，把目标任务层层分解，建立量化考评机制，强化职能监督，抓好末端工作落实。存在的问题及原因分析：1.制度执行不力，存在不到位的现象。虽然制定了各种管理制度，但由于人员编制紧张、工作量大等因素执行中存在一些畏难情绪，导致执行力不够。2.专项资金安排使用有待优化。用于学校日常共用开支的资金落实情况不是很好，一些资金预算有安排，但由于财政资金紧张，未执行到位。3.专业知识欠缺。绩效评价的指标设定量化过细，在绩效自评过程中，部分人员缺乏专业知识，对各项指标分不清，说不明。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享受教学条件改善学生数</w:t>
      </w:r>
      <w:r>
        <w:rPr>
          <w:rStyle w:val="18"/>
          <w:rFonts w:hint="eastAsia" w:ascii="楷体" w:hAnsi="楷体" w:eastAsia="楷体"/>
          <w:b w:val="0"/>
          <w:bCs w:val="0"/>
          <w:color w:val="auto"/>
          <w:spacing w:val="-4"/>
          <w:sz w:val="32"/>
          <w:szCs w:val="32"/>
        </w:rPr>
        <w:tab/>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学校供暖面积</w:t>
      </w:r>
      <w:r>
        <w:rPr>
          <w:rStyle w:val="18"/>
          <w:rFonts w:hint="eastAsia" w:ascii="楷体" w:hAnsi="楷体" w:eastAsia="楷体"/>
          <w:b w:val="0"/>
          <w:bCs w:val="0"/>
          <w:color w:val="auto"/>
          <w:spacing w:val="-4"/>
          <w:sz w:val="32"/>
          <w:szCs w:val="32"/>
        </w:rPr>
        <w:tab/>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聘用保安人数</w:t>
      </w:r>
      <w:r>
        <w:rPr>
          <w:rStyle w:val="18"/>
          <w:rFonts w:hint="eastAsia" w:ascii="楷体" w:hAnsi="楷体" w:eastAsia="楷体"/>
          <w:b w:val="0"/>
          <w:bCs w:val="0"/>
          <w:color w:val="auto"/>
          <w:spacing w:val="-4"/>
          <w:sz w:val="32"/>
          <w:szCs w:val="32"/>
        </w:rPr>
        <w:tab/>
        <w:t>项目实施的实际聘用保安人数与计划聘用保安人数的比率，用以反映和考核项目产出数量目标的实现程度。</w:t>
      </w:r>
      <w:r>
        <w:rPr>
          <w:rStyle w:val="18"/>
          <w:rFonts w:hint="eastAsia" w:ascii="楷体" w:hAnsi="楷体" w:eastAsia="楷体"/>
          <w:b w:val="0"/>
          <w:bCs w:val="0"/>
          <w:color w:val="auto"/>
          <w:spacing w:val="-4"/>
          <w:sz w:val="32"/>
          <w:szCs w:val="32"/>
        </w:rPr>
        <w:tab/>
        <w:t>实际完成率=（实际聘用保安人数/计划聘用保安人数）×100%。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实际学校聘用保安人数：一定时期（本年度或项目期）内项目实际学校聘用保安人数。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计划学校聘用保安人数：项目绩效目标确定的在一定时期（本年度或项目期）内计划学校聘用保安人数。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学校供暖覆盖率</w:t>
      </w:r>
      <w:r>
        <w:rPr>
          <w:rStyle w:val="18"/>
          <w:rFonts w:hint="eastAsia" w:ascii="楷体" w:hAnsi="楷体" w:eastAsia="楷体"/>
          <w:b w:val="0"/>
          <w:bCs w:val="0"/>
          <w:color w:val="auto"/>
          <w:spacing w:val="-4"/>
          <w:sz w:val="32"/>
          <w:szCs w:val="32"/>
        </w:rPr>
        <w:tab/>
        <w:t>项目完成的供暖面积覆盖率与实际供暖面积覆盖率的比率，用以反映和考核项目产出质量目标的实现程度。</w:t>
      </w:r>
      <w:r>
        <w:rPr>
          <w:rStyle w:val="18"/>
          <w:rFonts w:hint="eastAsia" w:ascii="楷体" w:hAnsi="楷体" w:eastAsia="楷体"/>
          <w:b w:val="0"/>
          <w:bCs w:val="0"/>
          <w:color w:val="auto"/>
          <w:spacing w:val="-4"/>
          <w:sz w:val="32"/>
          <w:szCs w:val="32"/>
        </w:rPr>
        <w:tab/>
        <w:t>学校供暖覆盖率=（项目完成的供暖面积覆盖率/实际供暖面积覆盖率）×100%。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供暖面积覆盖率：一定时期（本年度或项目期）内实际达到既定质量标准的供暖面积平方数。既定质量标准是指项目实施单位设立绩效目标时依据计划标准、行业标准、历史标准或其他标准而设定的绩效指标值。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聘用保安持证上岗率</w:t>
      </w:r>
      <w:r>
        <w:rPr>
          <w:rStyle w:val="18"/>
          <w:rFonts w:hint="eastAsia" w:ascii="楷体" w:hAnsi="楷体" w:eastAsia="楷体"/>
          <w:b w:val="0"/>
          <w:bCs w:val="0"/>
          <w:color w:val="auto"/>
          <w:spacing w:val="-4"/>
          <w:sz w:val="32"/>
          <w:szCs w:val="32"/>
        </w:rPr>
        <w:tab/>
        <w:t>项目完成的聘用保安持证上岗率与实际聘用保安持证上岗率的比率，用以反映和考核项目产出质量目标的实现程度。</w:t>
      </w:r>
      <w:r>
        <w:rPr>
          <w:rStyle w:val="18"/>
          <w:rFonts w:hint="eastAsia" w:ascii="楷体" w:hAnsi="楷体" w:eastAsia="楷体"/>
          <w:b w:val="0"/>
          <w:bCs w:val="0"/>
          <w:color w:val="auto"/>
          <w:spacing w:val="-4"/>
          <w:sz w:val="32"/>
          <w:szCs w:val="32"/>
        </w:rPr>
        <w:tab/>
        <w:t>聘用保安持证上岗率=（项目完成的聘用保安持证上岗率/实际聘用保安持证上岗率）×100%。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一定时期（本年度或项目期）内实际达到既定质量标准的保安持证上岗人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学校全年正常运转率</w:t>
      </w:r>
      <w:r>
        <w:rPr>
          <w:rStyle w:val="18"/>
          <w:rFonts w:hint="eastAsia" w:ascii="楷体" w:hAnsi="楷体" w:eastAsia="楷体"/>
          <w:b w:val="0"/>
          <w:bCs w:val="0"/>
          <w:color w:val="auto"/>
          <w:spacing w:val="-4"/>
          <w:sz w:val="32"/>
          <w:szCs w:val="32"/>
        </w:rPr>
        <w:tab/>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项目预算控制率</w:t>
      </w:r>
      <w:r>
        <w:rPr>
          <w:rStyle w:val="18"/>
          <w:rFonts w:hint="eastAsia" w:ascii="楷体" w:hAnsi="楷体" w:eastAsia="楷体"/>
          <w:b w:val="0"/>
          <w:bCs w:val="0"/>
          <w:color w:val="auto"/>
          <w:spacing w:val="-4"/>
          <w:sz w:val="32"/>
          <w:szCs w:val="32"/>
        </w:rPr>
        <w:tab/>
        <w:t>完成项目计划工作目标的实际支出与计划预算的比率，用以反映和考核项目的成本节约程度。</w:t>
      </w:r>
      <w:r>
        <w:rPr>
          <w:rStyle w:val="18"/>
          <w:rFonts w:hint="eastAsia" w:ascii="楷体" w:hAnsi="楷体" w:eastAsia="楷体"/>
          <w:b w:val="0"/>
          <w:bCs w:val="0"/>
          <w:color w:val="auto"/>
          <w:spacing w:val="-4"/>
          <w:sz w:val="32"/>
          <w:szCs w:val="32"/>
        </w:rPr>
        <w:tab/>
        <w:t>预算控制率=实际支出/计划预算×100%。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计划预算：项目实施单位为完成工作目标计划安排的支出，一般以项目预算为参考。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提高社会服务发展能力，提升学生综合素质</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学生满意度</w:t>
      </w:r>
      <w:r>
        <w:rPr>
          <w:rStyle w:val="18"/>
          <w:rFonts w:hint="eastAsia" w:ascii="楷体" w:hAnsi="楷体" w:eastAsia="楷体"/>
          <w:b w:val="0"/>
          <w:bCs w:val="0"/>
          <w:color w:val="auto"/>
          <w:spacing w:val="-4"/>
          <w:sz w:val="32"/>
          <w:szCs w:val="32"/>
        </w:rPr>
        <w:tab/>
        <w:t>在校学生对项目实施效果的满意程度。</w:t>
      </w:r>
      <w:r>
        <w:rPr>
          <w:rStyle w:val="18"/>
          <w:rFonts w:hint="eastAsia" w:ascii="楷体" w:hAnsi="楷体" w:eastAsia="楷体"/>
          <w:b w:val="0"/>
          <w:bCs w:val="0"/>
          <w:color w:val="auto"/>
          <w:spacing w:val="-4"/>
          <w:sz w:val="32"/>
          <w:szCs w:val="32"/>
        </w:rPr>
        <w:tab/>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·《关于提前下达2023年教育直达资金预算的通知》（公用经费（小学）乌财科教〔2022〕67号号）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·《关于提前下达2023年教育直达资金预算的通知》（公用经费（小学）乌财科教〔2022〕75号）</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2.5</w:t>
      </w:r>
      <w:r>
        <w:rPr>
          <w:rStyle w:val="18"/>
          <w:rFonts w:hint="eastAsia" w:ascii="楷体" w:hAnsi="楷体" w:eastAsia="楷体"/>
          <w:b w:val="0"/>
          <w:bCs w:val="0"/>
          <w:color w:val="auto"/>
          <w:spacing w:val="-4"/>
          <w:sz w:val="32"/>
          <w:szCs w:val="32"/>
        </w:rPr>
        <w:tab/>
        <w:t>83.3%</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2.4</w:t>
      </w:r>
      <w:r>
        <w:rPr>
          <w:rStyle w:val="18"/>
          <w:rFonts w:hint="eastAsia" w:ascii="楷体" w:hAnsi="楷体" w:eastAsia="楷体"/>
          <w:b w:val="0"/>
          <w:bCs w:val="0"/>
          <w:color w:val="auto"/>
          <w:spacing w:val="-4"/>
          <w:sz w:val="32"/>
          <w:szCs w:val="32"/>
        </w:rPr>
        <w:tab/>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享受教学条件改善学生数</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学校供暖面积</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聘用保安人数</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学校供暖覆盖率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聘用保安持证上岗率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学校全年正常运转率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项目预算控制率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提高社会服务发展能力，提升学生综合素质</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学生满意度</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在2023年计划完成享受教学条件改善学生数524人、学校供暖面积2417平方米、学校供暖面积覆盖率100%、聘用保安人数6人、学校全年正常运转率100%。提高社会服务发展能力，提升学生综合素质。以确保学校的正常运转，为推动学校综合发展，提高学校的整体形象和办学水平，增强社会对学校的认可和信任，进一步促进学校的发展。</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国家教育部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为社会成本指标，应为社会效益指标。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聘用保安人数”、“供暖覆盖达标率”、“聘用保安持证上岗率”、“学校全年正常运转率”、“项目开始时间及时率”、“项目完成时间及时率”、“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大额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52.87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资金到位率：该项目全年预算数52.87万元，全年到位资金25.47万元，资金到位率为48.17%。故资金到位率指标得分2.4分。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预算执行率：该项目全年到位资金25.47万元，全年执行25.47万元，预算执行率100%，故预算执行率得分为3分。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九十四小学资金授权审批制度》和《乌鲁木齐市第九十四小学资金支付监管办法》以及有关《公用经费（小学）乌财科教【2022】67号-75号-关于提前下达2023年教育直达资金预算的通知》专项资金管理办法的规定。同时，资金的拨付有审批文件、合同、原始凭证、会议纪要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综上，该指标满分13分，得分8.4分。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九十四小学制定相应的《乌鲁木齐市第九十四小学资金授权审批制度》和《乌鲁木齐市第九十四小学资金支付监管办法》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乌鲁木齐市第九十四小学严格遵守相关法律法规和相关管理规定，项目调整及支出调整手续完备，整体管理合理有序，项目完成后，及时将会计凭证、审批文件、会议纪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项目产出指标由4个二级指标和8个三级指标构成，权重为40分，实际得分36.67分。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数量指标“享受教学条件改善学生数”的目标值是&gt;=524人，2023年度我单位实际完成559人，实际完成率107%，原因是学校新转入学生增多，该指标得分5分；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数量指标“学校供暖面积”的目标值是=2417平方米，2023年度我单位实际供暖面积2417平方米，实际完成率100%，该指标得分5分；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数量指标“聘用保安人数”的目标值是&gt;=6人，2023年度我单位实际完成6人，实际完成率100%，该指标得分5分；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学校供暖覆盖率：学校供暖面积为2417平方米，根据合同约定，实际供暖面积为2417平方米，供暖覆盖达标率为100%。故学校供暖覆盖率得分为5分。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聘用保安持证上岗率：保安持证上岗数为6人，实际保安持证上岗数为6人，聘用保安持证上岗率为100%。故聘用保安持证上岗率得分为5分。</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项目预算控制率：本项目全年预算数为52.87万元，实际支出为25.47万元，无超支情况。得分为5分。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项目效益指标由2个二级指标和2个三级指标构成，权重为20分，实际得分20分。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CF0685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2024-10-20T10:35:15Z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