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DADBA5" w14:textId="77777777" w:rsidR="00400580" w:rsidRDefault="00400580">
      <w:pPr>
        <w:rPr>
          <w:rFonts w:ascii="黑体" w:eastAsia="黑体" w:hAnsi="黑体" w:hint="eastAsia"/>
          <w:sz w:val="32"/>
          <w:szCs w:val="32"/>
        </w:rPr>
      </w:pPr>
    </w:p>
    <w:p w14:paraId="3E291418" w14:textId="77777777" w:rsidR="00400580" w:rsidRDefault="00400580">
      <w:pPr>
        <w:jc w:val="center"/>
        <w:rPr>
          <w:rFonts w:ascii="方正小标宋_GBK" w:eastAsia="方正小标宋_GBK" w:hAnsi="宋体" w:hint="eastAsia"/>
          <w:sz w:val="44"/>
          <w:szCs w:val="44"/>
        </w:rPr>
      </w:pPr>
    </w:p>
    <w:p w14:paraId="4F897060" w14:textId="77777777" w:rsidR="00B32136" w:rsidRDefault="00000000" w:rsidP="00B32136">
      <w:pPr>
        <w:jc w:val="center"/>
        <w:rPr>
          <w:rFonts w:ascii="方正小标宋_GBK" w:eastAsia="方正小标宋_GBK" w:hAnsi="宋体"/>
          <w:sz w:val="44"/>
          <w:szCs w:val="44"/>
        </w:rPr>
      </w:pPr>
      <w:r>
        <w:rPr>
          <w:rFonts w:ascii="方正小标宋_GBK" w:eastAsia="方正小标宋_GBK" w:hAnsi="宋体" w:hint="eastAsia"/>
          <w:sz w:val="44"/>
          <w:szCs w:val="44"/>
        </w:rPr>
        <w:t>米东区畜牧兽医站</w:t>
      </w:r>
    </w:p>
    <w:p w14:paraId="701D7155" w14:textId="26EF908E" w:rsidR="00400580" w:rsidRDefault="00000000" w:rsidP="00B32136">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3491C1C4" w14:textId="77777777" w:rsidR="0040058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6C347A8" w14:textId="77777777" w:rsidR="00400580"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CA0CE80" w14:textId="77777777" w:rsidR="00400580"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01ECF80" w14:textId="77777777" w:rsidR="00400580"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00580">
          <w:rPr>
            <w:rFonts w:ascii="仿宋_GB2312" w:eastAsia="仿宋_GB2312" w:hAnsi="仿宋_GB2312" w:cs="仿宋_GB2312" w:hint="eastAsia"/>
            <w:b/>
            <w:bCs/>
            <w:sz w:val="32"/>
            <w:szCs w:val="32"/>
          </w:rPr>
          <w:t>第一部分 单位概况</w:t>
        </w:r>
      </w:hyperlink>
    </w:p>
    <w:p w14:paraId="190B5AE3"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3AA73D4"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D2A8327" w14:textId="77777777" w:rsidR="00400580" w:rsidRDefault="0040058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2F641AB"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C41F013"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8A3D029"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F759BC5"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DE5BD77"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1A26376"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DCE68A0"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290BC43"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5930CD1" w14:textId="77777777" w:rsidR="00400580" w:rsidRDefault="0040058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55F636D"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7761A9A" w14:textId="77777777" w:rsidR="00400580" w:rsidRDefault="0040058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8E73CCB" w14:textId="77777777" w:rsidR="00400580" w:rsidRDefault="0040058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A141016" w14:textId="77777777" w:rsidR="00400580" w:rsidRDefault="0040058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EB9FBC0"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FFBD3D6" w14:textId="77777777" w:rsidR="00400580"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AFA7F79" w14:textId="77777777" w:rsidR="00400580" w:rsidRDefault="0040058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6F930C8" w14:textId="77777777" w:rsidR="00400580" w:rsidRDefault="0040058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0D12AD1"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3647CAD"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10FD024"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6B0C002"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5C2D8C8"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F033225"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8A785D7"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DC65F20" w14:textId="77777777" w:rsidR="00400580" w:rsidRDefault="0040058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E3C162F" w14:textId="77777777" w:rsidR="00400580"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22BCE75" w14:textId="77777777" w:rsidR="00400580" w:rsidRDefault="00000000">
      <w:r>
        <w:rPr>
          <w:rFonts w:ascii="仿宋_GB2312" w:eastAsia="仿宋_GB2312" w:hAnsi="仿宋_GB2312" w:cs="仿宋_GB2312" w:hint="eastAsia"/>
          <w:sz w:val="32"/>
          <w:szCs w:val="32"/>
        </w:rPr>
        <w:fldChar w:fldCharType="end"/>
      </w:r>
    </w:p>
    <w:p w14:paraId="759C3FFC" w14:textId="77777777" w:rsidR="00400580" w:rsidRDefault="00000000">
      <w:pPr>
        <w:rPr>
          <w:rFonts w:ascii="仿宋_GB2312" w:eastAsia="仿宋_GB2312"/>
          <w:sz w:val="32"/>
          <w:szCs w:val="32"/>
        </w:rPr>
      </w:pPr>
      <w:r>
        <w:rPr>
          <w:rFonts w:ascii="仿宋_GB2312" w:eastAsia="仿宋_GB2312" w:hint="eastAsia"/>
          <w:sz w:val="32"/>
          <w:szCs w:val="32"/>
        </w:rPr>
        <w:br w:type="page"/>
      </w:r>
    </w:p>
    <w:p w14:paraId="064F8C74" w14:textId="77777777" w:rsidR="00400580"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34CBF2D1" w14:textId="77777777" w:rsidR="00400580"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0F2F0A01" w14:textId="77777777" w:rsidR="00400580" w:rsidRDefault="00000000">
      <w:pPr>
        <w:shd w:val="clear" w:color="auto" w:fill="FFFFFF"/>
        <w:autoSpaceDE w:val="0"/>
        <w:autoSpaceDN w:val="0"/>
        <w:adjustRightInd w:val="0"/>
        <w:spacing w:line="360" w:lineRule="auto"/>
        <w:ind w:firstLine="640"/>
        <w:rPr>
          <w:rFonts w:ascii="仿宋_GB2312" w:eastAsia="仿宋_GB2312" w:cs="仿宋_GB2312"/>
          <w:kern w:val="0"/>
          <w:sz w:val="32"/>
          <w:szCs w:val="32"/>
        </w:rPr>
      </w:pPr>
      <w:bookmarkStart w:id="4" w:name="_Toc31238"/>
      <w:bookmarkStart w:id="5" w:name="_Toc2151"/>
      <w:r>
        <w:rPr>
          <w:rFonts w:ascii="仿宋_GB2312" w:eastAsia="仿宋_GB2312" w:cs="仿宋_GB2312" w:hint="eastAsia"/>
          <w:kern w:val="0"/>
          <w:sz w:val="32"/>
          <w:szCs w:val="32"/>
        </w:rPr>
        <w:t>乌鲁木齐市米东区畜牧兽医站主要职能：防治畜禽疫病、促进畜牧业发展，负责辖区内动物疾病的监测，预警、预报、实验室诊断、流行病学调查，疫病报告，提出重大动物疫病防控技术方案；承担动物疫病预防的技术指导，技术培训，科普宣传工作；承担动物产品安全相关技术监测工作。</w:t>
      </w:r>
    </w:p>
    <w:p w14:paraId="1A9F862F" w14:textId="77777777" w:rsidR="00400580"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4EB66ED" w14:textId="77777777" w:rsidR="00400580"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米东区畜牧兽医站2023年度，实有人数</w:t>
      </w:r>
      <w:r>
        <w:rPr>
          <w:rFonts w:ascii="仿宋_GB2312" w:eastAsia="仿宋_GB2312" w:hint="eastAsia"/>
          <w:sz w:val="32"/>
          <w:szCs w:val="32"/>
          <w:lang w:val="zh-CN"/>
        </w:rPr>
        <w:t>33</w:t>
      </w:r>
      <w:r>
        <w:rPr>
          <w:rFonts w:ascii="仿宋_GB2312" w:eastAsia="仿宋_GB2312" w:hint="eastAsia"/>
          <w:sz w:val="32"/>
          <w:szCs w:val="32"/>
        </w:rPr>
        <w:t>人，其中：在职人员</w:t>
      </w:r>
      <w:r>
        <w:rPr>
          <w:rFonts w:ascii="仿宋_GB2312" w:eastAsia="仿宋_GB2312" w:hint="eastAsia"/>
          <w:sz w:val="32"/>
          <w:szCs w:val="32"/>
          <w:lang w:val="zh-CN"/>
        </w:rPr>
        <w:t>18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15</w:t>
      </w:r>
      <w:r>
        <w:rPr>
          <w:rFonts w:ascii="仿宋_GB2312" w:eastAsia="仿宋_GB2312" w:hint="eastAsia"/>
          <w:sz w:val="32"/>
          <w:szCs w:val="32"/>
        </w:rPr>
        <w:t>人。</w:t>
      </w:r>
    </w:p>
    <w:p w14:paraId="05D89899" w14:textId="77777777" w:rsidR="00400580" w:rsidRDefault="00000000">
      <w:pPr>
        <w:shd w:val="clear" w:color="auto" w:fill="FFFFFF"/>
        <w:spacing w:line="360" w:lineRule="auto"/>
        <w:ind w:firstLineChars="200" w:firstLine="640"/>
        <w:rPr>
          <w:rFonts w:ascii="仿宋_GB2312" w:eastAsia="仿宋_GB2312" w:hAnsi="宋体" w:cs="宋体" w:hint="eastAsia"/>
          <w:kern w:val="0"/>
          <w:sz w:val="32"/>
          <w:szCs w:val="32"/>
        </w:rPr>
        <w:sectPr w:rsidR="00400580">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w:t>
      </w:r>
      <w:r>
        <w:rPr>
          <w:rFonts w:ascii="仿宋_GB2312" w:eastAsia="仿宋_GB2312" w:hAnsi="仿宋_GB2312" w:hint="eastAsia"/>
          <w:kern w:val="0"/>
          <w:sz w:val="32"/>
          <w:lang w:val="zh-CN"/>
        </w:rPr>
        <w:t>下设</w:t>
      </w:r>
      <w:r>
        <w:rPr>
          <w:rFonts w:ascii="仿宋_GB2312" w:eastAsia="仿宋_GB2312" w:hAnsi="仿宋_GB2312" w:hint="eastAsia"/>
          <w:kern w:val="0"/>
          <w:sz w:val="32"/>
        </w:rPr>
        <w:t>5</w:t>
      </w:r>
      <w:r>
        <w:rPr>
          <w:rFonts w:ascii="仿宋_GB2312" w:eastAsia="仿宋_GB2312" w:hAnsi="仿宋_GB2312" w:hint="eastAsia"/>
          <w:kern w:val="0"/>
          <w:sz w:val="32"/>
          <w:lang w:val="zh-CN"/>
        </w:rPr>
        <w:t>个科室，分别是：</w:t>
      </w:r>
      <w:r>
        <w:rPr>
          <w:rFonts w:ascii="仿宋_GB2312" w:eastAsia="仿宋_GB2312" w:hAnsi="仿宋_GB2312" w:hint="eastAsia"/>
          <w:kern w:val="0"/>
          <w:sz w:val="32"/>
        </w:rPr>
        <w:t>防疫科、财务科、行政办、综合科、监测科</w:t>
      </w:r>
      <w:r>
        <w:rPr>
          <w:rFonts w:ascii="仿宋_GB2312" w:eastAsia="仿宋_GB2312" w:hAnsi="宋体" w:cs="宋体" w:hint="eastAsia"/>
          <w:kern w:val="0"/>
          <w:sz w:val="32"/>
          <w:szCs w:val="32"/>
        </w:rPr>
        <w:t>。</w:t>
      </w:r>
    </w:p>
    <w:p w14:paraId="6162DADB" w14:textId="77777777" w:rsidR="00400580"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2872E305" w14:textId="77777777" w:rsidR="00400580"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5A7BFA07"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2023年度收入总计722.71万元，其中：本年收入合计608.29万元，使用非财政拨款结余0.00万元，年初结转和结余114.42万元。</w:t>
      </w:r>
    </w:p>
    <w:p w14:paraId="6133B5C2"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2023年度支出总计722.71万元，其中：本年支出合计647.94万元，结余分配0.00万元，年末结转和结余74.77万元。</w:t>
      </w:r>
    </w:p>
    <w:p w14:paraId="17D0BDCD"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增加84.23万元</w:t>
      </w:r>
      <w:r>
        <w:rPr>
          <w:rFonts w:ascii="仿宋_GB2312" w:eastAsia="仿宋_GB2312" w:hint="eastAsia"/>
          <w:sz w:val="32"/>
          <w:szCs w:val="32"/>
        </w:rPr>
        <w:t>，增长13.19%，主要原因是：在职人员的技术级别增高，</w:t>
      </w:r>
      <w:r>
        <w:rPr>
          <w:rFonts w:ascii="仿宋_GB2312" w:eastAsia="仿宋_GB2312" w:hAnsi="仿宋_GB2312" w:hint="eastAsia"/>
          <w:kern w:val="0"/>
          <w:sz w:val="32"/>
        </w:rPr>
        <w:t>人员工资、绩效、津贴补贴</w:t>
      </w:r>
      <w:r>
        <w:rPr>
          <w:rFonts w:ascii="仿宋_GB2312" w:eastAsia="仿宋_GB2312" w:hint="eastAsia"/>
          <w:sz w:val="32"/>
          <w:szCs w:val="32"/>
        </w:rPr>
        <w:t>相应增加。</w:t>
      </w:r>
    </w:p>
    <w:p w14:paraId="3E0E31A5" w14:textId="77777777" w:rsidR="00400580"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1936E6B"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本年收入608.29万元，其中：财政拨款收入</w:t>
      </w:r>
      <w:r>
        <w:rPr>
          <w:rFonts w:ascii="仿宋_GB2312" w:eastAsia="仿宋_GB2312" w:hint="eastAsia"/>
          <w:sz w:val="32"/>
          <w:szCs w:val="32"/>
          <w:lang w:val="zh-CN"/>
        </w:rPr>
        <w:t>608.29</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4FFFD2CA" w14:textId="77777777" w:rsidR="00400580"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24467A02" w14:textId="77777777" w:rsidR="0040058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本年支出647.94万元，其中：基本支出578.29万元，占89.25%；项目支出69.64万元，占10.75%；上缴上级支出0.00万元，占0.00%；经营支出0.00万元，占0.00%；对附属单位补助支出0.00万元，占0.00%。</w:t>
      </w:r>
    </w:p>
    <w:p w14:paraId="3EC36469" w14:textId="77777777" w:rsidR="00400580"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68EFE722"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722.71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114.42</w:t>
      </w:r>
      <w:r>
        <w:rPr>
          <w:rFonts w:ascii="仿宋_GB2312" w:eastAsia="仿宋_GB2312" w:hint="eastAsia"/>
          <w:sz w:val="32"/>
          <w:szCs w:val="32"/>
        </w:rPr>
        <w:t>万元，本年财政拨款收入</w:t>
      </w:r>
      <w:r>
        <w:rPr>
          <w:rFonts w:ascii="仿宋_GB2312" w:eastAsia="仿宋_GB2312" w:hint="eastAsia"/>
          <w:sz w:val="32"/>
          <w:szCs w:val="32"/>
          <w:lang w:val="zh-CN"/>
        </w:rPr>
        <w:t>608.29</w:t>
      </w:r>
      <w:r>
        <w:rPr>
          <w:rFonts w:ascii="仿宋_GB2312" w:eastAsia="仿宋_GB2312" w:hint="eastAsia"/>
          <w:sz w:val="32"/>
          <w:szCs w:val="32"/>
        </w:rPr>
        <w:t>万元。财政拨款支出总计</w:t>
      </w:r>
      <w:r>
        <w:rPr>
          <w:rFonts w:ascii="仿宋_GB2312" w:eastAsia="仿宋_GB2312" w:hint="eastAsia"/>
          <w:sz w:val="32"/>
          <w:szCs w:val="32"/>
          <w:lang w:val="zh-CN"/>
        </w:rPr>
        <w:t>722.71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74.77</w:t>
      </w:r>
      <w:r>
        <w:rPr>
          <w:rFonts w:ascii="仿宋_GB2312" w:eastAsia="仿宋_GB2312" w:hint="eastAsia"/>
          <w:sz w:val="32"/>
          <w:szCs w:val="32"/>
        </w:rPr>
        <w:t>万元，本年财政拨款支出</w:t>
      </w:r>
      <w:r>
        <w:rPr>
          <w:rFonts w:ascii="仿宋_GB2312" w:eastAsia="仿宋_GB2312" w:hint="eastAsia"/>
          <w:sz w:val="32"/>
          <w:szCs w:val="32"/>
          <w:lang w:val="zh-CN"/>
        </w:rPr>
        <w:t>647.94</w:t>
      </w:r>
      <w:r>
        <w:rPr>
          <w:rFonts w:ascii="仿宋_GB2312" w:eastAsia="仿宋_GB2312" w:hint="eastAsia"/>
          <w:sz w:val="32"/>
          <w:szCs w:val="32"/>
        </w:rPr>
        <w:t>万元。</w:t>
      </w:r>
    </w:p>
    <w:p w14:paraId="5682FF22" w14:textId="77777777" w:rsidR="00400580" w:rsidRDefault="00000000">
      <w:pPr>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增加84.23万元</w:t>
      </w:r>
      <w:r>
        <w:rPr>
          <w:rFonts w:ascii="仿宋_GB2312" w:eastAsia="仿宋_GB2312" w:hint="eastAsia"/>
          <w:sz w:val="32"/>
          <w:szCs w:val="32"/>
        </w:rPr>
        <w:t>，增长13.19%,主要原因是：在职人员的技术级别增高，</w:t>
      </w:r>
      <w:r>
        <w:rPr>
          <w:rFonts w:ascii="仿宋_GB2312" w:eastAsia="仿宋_GB2312" w:hAnsi="仿宋_GB2312" w:hint="eastAsia"/>
          <w:kern w:val="0"/>
          <w:sz w:val="32"/>
        </w:rPr>
        <w:t>人员工资、绩效、津贴补贴</w:t>
      </w:r>
      <w:r>
        <w:rPr>
          <w:rFonts w:ascii="仿宋_GB2312" w:eastAsia="仿宋_GB2312" w:hint="eastAsia"/>
          <w:sz w:val="32"/>
          <w:szCs w:val="32"/>
        </w:rPr>
        <w:t>相应增加。与年初预算相比，年初预算数</w:t>
      </w:r>
      <w:r>
        <w:rPr>
          <w:rFonts w:ascii="仿宋_GB2312" w:eastAsia="仿宋_GB2312" w:hint="eastAsia"/>
          <w:sz w:val="32"/>
          <w:szCs w:val="32"/>
          <w:lang w:val="zh-CN"/>
        </w:rPr>
        <w:t>663.20</w:t>
      </w:r>
      <w:r>
        <w:rPr>
          <w:rFonts w:ascii="仿宋_GB2312" w:eastAsia="仿宋_GB2312" w:hint="eastAsia"/>
          <w:sz w:val="32"/>
          <w:szCs w:val="32"/>
        </w:rPr>
        <w:t>万元，决算数</w:t>
      </w:r>
      <w:r>
        <w:rPr>
          <w:rFonts w:ascii="仿宋_GB2312" w:eastAsia="仿宋_GB2312" w:hint="eastAsia"/>
          <w:sz w:val="32"/>
          <w:szCs w:val="32"/>
          <w:lang w:val="zh-CN"/>
        </w:rPr>
        <w:t>722.71</w:t>
      </w:r>
      <w:r>
        <w:rPr>
          <w:rFonts w:ascii="仿宋_GB2312" w:eastAsia="仿宋_GB2312" w:hint="eastAsia"/>
          <w:sz w:val="32"/>
          <w:szCs w:val="32"/>
        </w:rPr>
        <w:t>万元，预决算差异率8.97%，主要原因是：</w:t>
      </w:r>
      <w:r>
        <w:rPr>
          <w:rFonts w:ascii="仿宋_GB2312" w:eastAsia="仿宋_GB2312" w:hint="eastAsia"/>
          <w:sz w:val="32"/>
          <w:szCs w:val="32"/>
          <w:lang w:val="zh-CN"/>
        </w:rPr>
        <w:t>人员薪资调增，年中追加</w:t>
      </w:r>
      <w:bookmarkStart w:id="16" w:name="_Hlk179455294"/>
      <w:r>
        <w:rPr>
          <w:rFonts w:ascii="仿宋_GB2312" w:eastAsia="仿宋_GB2312" w:hint="eastAsia"/>
          <w:sz w:val="32"/>
          <w:szCs w:val="32"/>
          <w:lang w:val="zh-CN"/>
        </w:rPr>
        <w:t>人员工资、奖金、绩效工资等人员经费</w:t>
      </w:r>
      <w:bookmarkEnd w:id="16"/>
      <w:r>
        <w:rPr>
          <w:rFonts w:ascii="仿宋_GB2312" w:eastAsia="仿宋_GB2312" w:hint="eastAsia"/>
          <w:sz w:val="32"/>
          <w:szCs w:val="32"/>
        </w:rPr>
        <w:t>。</w:t>
      </w:r>
    </w:p>
    <w:p w14:paraId="7A8297E2" w14:textId="77777777" w:rsidR="00400580" w:rsidRDefault="00000000">
      <w:pPr>
        <w:ind w:firstLineChars="200" w:firstLine="640"/>
        <w:jc w:val="left"/>
        <w:outlineLvl w:val="1"/>
        <w:rPr>
          <w:rFonts w:ascii="黑体" w:eastAsia="黑体" w:hAnsi="黑体" w:cs="宋体" w:hint="eastAsia"/>
          <w:bCs/>
          <w:kern w:val="0"/>
          <w:sz w:val="32"/>
          <w:szCs w:val="32"/>
        </w:rPr>
      </w:pPr>
      <w:bookmarkStart w:id="17" w:name="_Toc13833"/>
      <w:bookmarkStart w:id="18" w:name="_Toc20360"/>
      <w:r>
        <w:rPr>
          <w:rFonts w:ascii="黑体" w:eastAsia="黑体" w:hAnsi="黑体" w:cs="宋体" w:hint="eastAsia"/>
          <w:bCs/>
          <w:kern w:val="0"/>
          <w:sz w:val="32"/>
          <w:szCs w:val="32"/>
        </w:rPr>
        <w:t>五、一般公共预算财政拨款支出决算情况说明</w:t>
      </w:r>
      <w:bookmarkEnd w:id="17"/>
      <w:bookmarkEnd w:id="18"/>
    </w:p>
    <w:p w14:paraId="7F09C5D0" w14:textId="77777777" w:rsidR="0040058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4F6C190" w14:textId="77777777" w:rsidR="00400580"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2023年度一般公共预算财政拨款支出647.94万元，占本年支出合计的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增加123.87万元</w:t>
      </w:r>
      <w:r>
        <w:rPr>
          <w:rFonts w:ascii="仿宋_GB2312" w:eastAsia="仿宋_GB2312" w:hint="eastAsia"/>
          <w:sz w:val="32"/>
          <w:szCs w:val="32"/>
        </w:rPr>
        <w:t>，增长23.64%,主要原因是：在职人员的技术级别增高，</w:t>
      </w:r>
      <w:r>
        <w:rPr>
          <w:rFonts w:ascii="仿宋_GB2312" w:eastAsia="仿宋_GB2312" w:hAnsi="仿宋_GB2312" w:hint="eastAsia"/>
          <w:kern w:val="0"/>
          <w:sz w:val="32"/>
        </w:rPr>
        <w:t>人员工资、绩效、津贴补贴</w:t>
      </w:r>
      <w:r>
        <w:rPr>
          <w:rFonts w:ascii="仿宋_GB2312" w:eastAsia="仿宋_GB2312" w:hint="eastAsia"/>
          <w:sz w:val="32"/>
          <w:szCs w:val="32"/>
        </w:rPr>
        <w:t>相应增加。与年初预算相比，年初预算数</w:t>
      </w:r>
      <w:r>
        <w:rPr>
          <w:rFonts w:ascii="仿宋_GB2312" w:eastAsia="仿宋_GB2312" w:hint="eastAsia"/>
          <w:sz w:val="32"/>
          <w:szCs w:val="32"/>
          <w:lang w:val="zh-CN"/>
        </w:rPr>
        <w:t>663.20</w:t>
      </w:r>
      <w:r>
        <w:rPr>
          <w:rFonts w:ascii="仿宋_GB2312" w:eastAsia="仿宋_GB2312" w:hint="eastAsia"/>
          <w:sz w:val="32"/>
          <w:szCs w:val="32"/>
        </w:rPr>
        <w:t>万元，决算数</w:t>
      </w:r>
      <w:r>
        <w:rPr>
          <w:rFonts w:ascii="仿宋_GB2312" w:eastAsia="仿宋_GB2312" w:hint="eastAsia"/>
          <w:sz w:val="32"/>
          <w:szCs w:val="32"/>
          <w:lang w:val="zh-CN"/>
        </w:rPr>
        <w:t>647.94</w:t>
      </w:r>
      <w:r>
        <w:rPr>
          <w:rFonts w:ascii="仿宋_GB2312" w:eastAsia="仿宋_GB2312" w:hint="eastAsia"/>
          <w:sz w:val="32"/>
          <w:szCs w:val="32"/>
        </w:rPr>
        <w:t>万元，预决算差异率</w:t>
      </w:r>
      <w:r>
        <w:rPr>
          <w:rFonts w:ascii="仿宋_GB2312" w:eastAsia="仿宋_GB2312" w:hint="eastAsia"/>
          <w:sz w:val="32"/>
          <w:szCs w:val="32"/>
          <w:lang w:val="zh-CN"/>
        </w:rPr>
        <w:t>-2.30%</w:t>
      </w:r>
      <w:r>
        <w:rPr>
          <w:rFonts w:ascii="仿宋_GB2312" w:eastAsia="仿宋_GB2312" w:hint="eastAsia"/>
          <w:sz w:val="32"/>
          <w:szCs w:val="32"/>
        </w:rPr>
        <w:t>，主要原因是：</w:t>
      </w:r>
      <w:r>
        <w:rPr>
          <w:rFonts w:ascii="仿宋_GB2312" w:eastAsia="仿宋_GB2312" w:hint="eastAsia"/>
          <w:sz w:val="32"/>
          <w:szCs w:val="32"/>
          <w:lang w:val="zh-CN"/>
        </w:rPr>
        <w:t>人员薪资调增，年中追加人员工资、奖金、绩效工资等人员经费</w:t>
      </w:r>
      <w:r>
        <w:rPr>
          <w:rFonts w:ascii="仿宋_GB2312" w:eastAsia="仿宋_GB2312" w:hint="eastAsia"/>
          <w:sz w:val="32"/>
          <w:szCs w:val="32"/>
        </w:rPr>
        <w:t>。</w:t>
      </w:r>
    </w:p>
    <w:p w14:paraId="796C74AB" w14:textId="77777777" w:rsidR="00400580"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0C4CFA3" w14:textId="77777777" w:rsidR="0040058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1.农林水支出（类）632.59万元，占</w:t>
      </w:r>
      <w:r>
        <w:rPr>
          <w:rFonts w:ascii="仿宋_GB2312" w:eastAsia="仿宋_GB2312" w:hint="eastAsia"/>
          <w:kern w:val="2"/>
          <w:sz w:val="32"/>
          <w:szCs w:val="32"/>
          <w:lang w:val="zh-CN"/>
        </w:rPr>
        <w:t>97.63%</w:t>
      </w:r>
      <w:r>
        <w:rPr>
          <w:rFonts w:ascii="仿宋_GB2312" w:eastAsia="仿宋_GB2312"/>
          <w:kern w:val="2"/>
          <w:sz w:val="32"/>
          <w:szCs w:val="32"/>
          <w:lang w:val="zh-CN"/>
        </w:rPr>
        <w:t>；</w:t>
      </w:r>
    </w:p>
    <w:p w14:paraId="295E8273" w14:textId="77777777" w:rsidR="0040058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2.其他支出（类）</w:t>
      </w:r>
      <w:r>
        <w:rPr>
          <w:rFonts w:ascii="仿宋_GB2312" w:eastAsia="仿宋_GB2312" w:hint="eastAsia"/>
          <w:kern w:val="2"/>
          <w:sz w:val="32"/>
          <w:szCs w:val="32"/>
          <w:lang w:val="zh-CN"/>
        </w:rPr>
        <w:t>15.34</w:t>
      </w:r>
      <w:r>
        <w:rPr>
          <w:rFonts w:ascii="仿宋_GB2312" w:eastAsia="仿宋_GB2312"/>
          <w:kern w:val="2"/>
          <w:sz w:val="32"/>
          <w:szCs w:val="32"/>
          <w:lang w:val="zh-CN"/>
        </w:rPr>
        <w:t>万元，占</w:t>
      </w:r>
      <w:r>
        <w:rPr>
          <w:rFonts w:ascii="仿宋_GB2312" w:eastAsia="仿宋_GB2312" w:hint="eastAsia"/>
          <w:kern w:val="2"/>
          <w:sz w:val="32"/>
          <w:szCs w:val="32"/>
          <w:lang w:val="zh-CN"/>
        </w:rPr>
        <w:t>2.37%。</w:t>
      </w:r>
    </w:p>
    <w:p w14:paraId="29BF2E46" w14:textId="77777777" w:rsidR="0040058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65F0B9F" w14:textId="77777777" w:rsidR="0040058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1.农林水支出（类）农业农村（款）事业运行（项）:支出决算数为495.40万元，比上年决算增加71.57万元，增长16.89%，主要原因是：</w:t>
      </w:r>
      <w:r>
        <w:rPr>
          <w:rFonts w:ascii="仿宋_GB2312" w:eastAsia="仿宋_GB2312" w:hint="eastAsia"/>
          <w:sz w:val="32"/>
          <w:szCs w:val="32"/>
        </w:rPr>
        <w:t>在职人员的技术级别增高，</w:t>
      </w:r>
      <w:r>
        <w:rPr>
          <w:rFonts w:ascii="仿宋_GB2312" w:eastAsia="仿宋_GB2312" w:hAnsi="仿宋_GB2312" w:hint="eastAsia"/>
          <w:kern w:val="0"/>
          <w:sz w:val="32"/>
        </w:rPr>
        <w:t>人员工资、绩效、津贴补贴</w:t>
      </w:r>
      <w:r>
        <w:rPr>
          <w:rFonts w:ascii="仿宋_GB2312" w:eastAsia="仿宋_GB2312" w:hint="eastAsia"/>
          <w:sz w:val="32"/>
          <w:szCs w:val="32"/>
        </w:rPr>
        <w:t>相应增加</w:t>
      </w:r>
      <w:r>
        <w:rPr>
          <w:rFonts w:ascii="仿宋_GB2312" w:eastAsia="仿宋_GB2312" w:hAnsi="仿宋_GB2312" w:cs="仿宋_GB2312" w:hint="eastAsia"/>
          <w:sz w:val="32"/>
          <w:szCs w:val="32"/>
          <w:lang w:val="zh-CN"/>
        </w:rPr>
        <w:t>。</w:t>
      </w:r>
    </w:p>
    <w:p w14:paraId="274DA496" w14:textId="2C583C55" w:rsidR="00400580" w:rsidRDefault="00000000">
      <w:pPr>
        <w:ind w:firstLineChars="200" w:firstLine="640"/>
        <w:rPr>
          <w:rFonts w:ascii="仿宋_GB2312" w:eastAsia="仿宋_GB2312"/>
          <w:sz w:val="32"/>
          <w:szCs w:val="32"/>
        </w:rPr>
      </w:pPr>
      <w:r>
        <w:rPr>
          <w:rFonts w:ascii="仿宋_GB2312" w:eastAsia="仿宋_GB2312" w:hAnsi="仿宋_GB2312" w:cs="仿宋_GB2312" w:hint="eastAsia"/>
          <w:sz w:val="32"/>
          <w:szCs w:val="32"/>
        </w:rPr>
        <w:t>2.农林水支出（类）农业农村（款）病虫害控制（项）:支出决算数为137.19万元，比上年决算增加80.24万元，增长140.90%，主要原因是：单位本年增加</w:t>
      </w:r>
      <w:r>
        <w:rPr>
          <w:rFonts w:ascii="仿宋_GB2312" w:eastAsia="仿宋_GB2312" w:hint="eastAsia"/>
          <w:sz w:val="32"/>
          <w:szCs w:val="32"/>
        </w:rPr>
        <w:t>非洲猪瘟防控工作经费。</w:t>
      </w:r>
    </w:p>
    <w:p w14:paraId="68AFCF74" w14:textId="77777777" w:rsidR="0040058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3.其他支出（类）其他支出（款）其他支出（项）:支出决算数为15.34万元，比上年决算增加15.34万元，增长100%，主要原因是：单位本年增加</w:t>
      </w:r>
      <w:r>
        <w:rPr>
          <w:rFonts w:ascii="仿宋_GB2312" w:eastAsia="仿宋_GB2312" w:hAnsi="仿宋_GB2312" w:cs="仿宋_GB2312" w:hint="eastAsia"/>
          <w:sz w:val="32"/>
          <w:szCs w:val="32"/>
          <w:lang w:val="zh-CN"/>
        </w:rPr>
        <w:t>新疆人才发展基金第一批重大人才计划项目。</w:t>
      </w:r>
    </w:p>
    <w:p w14:paraId="3BB6817D" w14:textId="1B80FCAC" w:rsidR="0040058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4.社会保障和就业支出（类）行政事业单位养老支出（款）机关事业单位基本养老保险缴费支出（项）:支出决算数为0.00万元，比上年决算减少43.28万元，下降100%，主要原因是：</w:t>
      </w:r>
      <w:bookmarkStart w:id="19" w:name="_Hlk181978391"/>
      <w:r w:rsidR="00B32136">
        <w:rPr>
          <w:rFonts w:ascii="仿宋_GB2312" w:eastAsia="仿宋_GB2312" w:hAnsi="仿宋_GB2312" w:cs="仿宋_GB2312" w:hint="eastAsia"/>
          <w:sz w:val="32"/>
          <w:szCs w:val="32"/>
          <w:lang w:val="zh-CN"/>
        </w:rPr>
        <w:t>本年科目调整，养老保险缴费调整至主款，因此本科目减少</w:t>
      </w:r>
      <w:bookmarkEnd w:id="19"/>
      <w:r>
        <w:rPr>
          <w:rFonts w:ascii="仿宋_GB2312" w:eastAsia="仿宋_GB2312" w:hAnsi="仿宋_GB2312" w:cs="仿宋_GB2312" w:hint="eastAsia"/>
          <w:sz w:val="32"/>
          <w:szCs w:val="32"/>
          <w:lang w:val="zh-CN"/>
        </w:rPr>
        <w:t>。</w:t>
      </w:r>
    </w:p>
    <w:p w14:paraId="639264E9" w14:textId="77777777" w:rsidR="0040058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23629F2"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2023年度一般公共预算财政拨款基本支出578.29万元，其中：人员经费451.28万元，包括：基本工资、津贴补贴、</w:t>
      </w:r>
      <w:r>
        <w:rPr>
          <w:rFonts w:ascii="仿宋_GB2312" w:eastAsia="仿宋_GB2312" w:hint="eastAsia"/>
          <w:sz w:val="32"/>
          <w:szCs w:val="32"/>
        </w:rPr>
        <w:lastRenderedPageBreak/>
        <w:t>奖金、绩效工资、机关事业单位基本养老保险缴费、职业年金缴费、职工基本医疗保险缴费、公务员医疗补助缴费、其他社会保障缴费、住房公积金、其他工资福利支出、退休费、抚恤金、生活补助。</w:t>
      </w:r>
    </w:p>
    <w:p w14:paraId="72F3E095"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公用经费127.01万元，包括：办公费、印刷费、水费、电费、邮电费、差旅费、专用材料费、劳务费、工会经费、福利费、公务用车运行维护费、其他商品和服务支出。</w:t>
      </w:r>
    </w:p>
    <w:p w14:paraId="10FBB2C3" w14:textId="77777777" w:rsidR="0040058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305AC59" w14:textId="77777777" w:rsidR="00400580" w:rsidRDefault="00000000">
      <w:pPr>
        <w:ind w:firstLineChars="200" w:firstLine="640"/>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“三公”经费支出4.62万元，</w:t>
      </w:r>
      <w:r>
        <w:rPr>
          <w:rFonts w:ascii="仿宋_GB2312" w:eastAsia="仿宋_GB2312" w:hint="eastAsia"/>
          <w:sz w:val="32"/>
          <w:szCs w:val="32"/>
        </w:rPr>
        <w:t>比上年</w:t>
      </w:r>
      <w:r>
        <w:rPr>
          <w:rFonts w:ascii="仿宋_GB2312" w:eastAsia="仿宋_GB2312" w:hint="eastAsia"/>
          <w:sz w:val="32"/>
          <w:szCs w:val="32"/>
          <w:lang w:val="zh-CN"/>
        </w:rPr>
        <w:t>增加0.51万元，</w:t>
      </w:r>
      <w:r>
        <w:rPr>
          <w:rFonts w:ascii="仿宋_GB2312" w:eastAsia="仿宋_GB2312" w:hint="eastAsia"/>
          <w:sz w:val="32"/>
          <w:szCs w:val="32"/>
        </w:rPr>
        <w:t>增长12.41%,</w:t>
      </w:r>
      <w:r>
        <w:rPr>
          <w:rFonts w:ascii="仿宋_GB2312" w:eastAsia="仿宋_GB2312" w:hint="eastAsia"/>
          <w:sz w:val="32"/>
          <w:szCs w:val="32"/>
          <w:lang w:val="zh-CN"/>
        </w:rPr>
        <w:t>主要原因是：</w:t>
      </w:r>
      <w:r>
        <w:rPr>
          <w:rFonts w:ascii="仿宋_GB2312" w:eastAsia="仿宋_GB2312"/>
          <w:sz w:val="32"/>
          <w:szCs w:val="32"/>
          <w:lang w:val="zh-CN"/>
        </w:rPr>
        <w:t>车辆出行次数增加，车辆维修维护费、燃油费等增加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；公务用车购置及运行维护费支出4.62万元，占100.00%，比上年增加0.51万元，</w:t>
      </w:r>
      <w:r>
        <w:rPr>
          <w:rFonts w:ascii="仿宋_GB2312" w:eastAsia="仿宋_GB2312" w:hint="eastAsia"/>
          <w:sz w:val="32"/>
          <w:szCs w:val="32"/>
        </w:rPr>
        <w:t>增长12.41%,</w:t>
      </w:r>
      <w:r>
        <w:rPr>
          <w:rFonts w:ascii="仿宋_GB2312" w:eastAsia="仿宋_GB2312" w:hint="eastAsia"/>
          <w:sz w:val="32"/>
          <w:szCs w:val="32"/>
          <w:lang w:val="zh-CN"/>
        </w:rPr>
        <w:t>主要原因是：</w:t>
      </w:r>
      <w:r>
        <w:rPr>
          <w:rFonts w:ascii="仿宋_GB2312" w:eastAsia="仿宋_GB2312"/>
          <w:sz w:val="32"/>
          <w:szCs w:val="32"/>
          <w:lang w:val="zh-CN"/>
        </w:rPr>
        <w:t>车辆出行次数增加，车辆维修维护费、燃油费等增加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2BB18D14" w14:textId="77777777" w:rsidR="0040058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57DFB53" w14:textId="77777777" w:rsidR="0040058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。单位全年安排的因公出国（境）团组0个，因公出国（境）0人次。</w:t>
      </w:r>
    </w:p>
    <w:p w14:paraId="5D1F8ECB" w14:textId="32E538EE" w:rsidR="00400580" w:rsidRDefault="00000000">
      <w:pPr>
        <w:ind w:firstLineChars="200" w:firstLine="640"/>
        <w:rPr>
          <w:rFonts w:ascii="仿宋_GB2312" w:eastAsia="仿宋_GB2312"/>
          <w:sz w:val="32"/>
          <w:szCs w:val="32"/>
        </w:rPr>
      </w:pPr>
      <w:r>
        <w:rPr>
          <w:rFonts w:ascii="仿宋_GB2312" w:eastAsia="仿宋_GB2312" w:hint="eastAsia"/>
          <w:sz w:val="32"/>
          <w:szCs w:val="32"/>
          <w:lang w:val="zh-CN"/>
        </w:rPr>
        <w:lastRenderedPageBreak/>
        <w:t>公务用车购置及运行维护费4.62万元，其中：公务用车购置费0.00万元，公务用车运行维护费4.62万元。公务用车运行维护费开支内容包括</w:t>
      </w:r>
      <w:r>
        <w:rPr>
          <w:rFonts w:ascii="仿宋_GB2312" w:eastAsia="仿宋_GB2312"/>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32136" w:rsidRPr="00B32136">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1EB5F450" w14:textId="77777777" w:rsidR="0040058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。单位全年安排的国内公务接待0批次，0人次。</w:t>
      </w:r>
    </w:p>
    <w:p w14:paraId="456A707D" w14:textId="77777777" w:rsidR="00400580" w:rsidRDefault="00000000">
      <w:pPr>
        <w:ind w:firstLineChars="200" w:firstLine="640"/>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预算数4.62万元，决算数4.62万元，预决算差异率0.00%，主要原因是：</w:t>
      </w:r>
      <w:r>
        <w:rPr>
          <w:rFonts w:ascii="仿宋_GB2312" w:eastAsia="仿宋_GB2312"/>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预算数4.62万元，决算数4.62万元，预决算差异率0.00%，主要原因是：</w:t>
      </w:r>
      <w:r>
        <w:rPr>
          <w:rFonts w:ascii="仿宋_GB2312" w:eastAsia="仿宋_GB2312"/>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1F6A3392" w14:textId="77777777" w:rsidR="00400580" w:rsidRDefault="00000000">
      <w:pPr>
        <w:ind w:firstLineChars="200" w:firstLine="640"/>
        <w:jc w:val="left"/>
        <w:outlineLvl w:val="1"/>
        <w:rPr>
          <w:rFonts w:ascii="黑体" w:eastAsia="黑体" w:hAnsi="黑体" w:cs="宋体" w:hint="eastAsia"/>
          <w:bCs/>
          <w:kern w:val="0"/>
          <w:sz w:val="32"/>
          <w:szCs w:val="32"/>
        </w:rPr>
      </w:pPr>
      <w:bookmarkStart w:id="20" w:name="_Toc5810"/>
      <w:bookmarkStart w:id="21" w:name="_Toc7927"/>
      <w:r>
        <w:rPr>
          <w:rFonts w:ascii="黑体" w:eastAsia="黑体" w:hAnsi="黑体" w:cs="宋体" w:hint="eastAsia"/>
          <w:bCs/>
          <w:kern w:val="0"/>
          <w:sz w:val="32"/>
          <w:szCs w:val="32"/>
        </w:rPr>
        <w:t>八、政府性基金预算财政拨款收入支出决算情况说明</w:t>
      </w:r>
      <w:bookmarkEnd w:id="20"/>
      <w:bookmarkEnd w:id="21"/>
    </w:p>
    <w:p w14:paraId="48491871"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我单位本年度无政府性基金预算财政拨款收入、支出及结转和结余，政府性基金预算财政拨款收入支出决算表为空表。</w:t>
      </w:r>
    </w:p>
    <w:p w14:paraId="373B8DEE" w14:textId="77777777" w:rsidR="00400580" w:rsidRDefault="00000000">
      <w:pPr>
        <w:ind w:firstLineChars="200" w:firstLine="640"/>
        <w:jc w:val="left"/>
        <w:outlineLvl w:val="1"/>
        <w:rPr>
          <w:rFonts w:ascii="仿宋_GB2312" w:eastAsia="仿宋_GB2312"/>
          <w:sz w:val="32"/>
          <w:szCs w:val="32"/>
        </w:rPr>
      </w:pPr>
      <w:r>
        <w:rPr>
          <w:rFonts w:ascii="黑体" w:eastAsia="黑体" w:hAnsi="黑体" w:cs="宋体" w:hint="eastAsia"/>
          <w:bCs/>
          <w:kern w:val="0"/>
          <w:sz w:val="32"/>
          <w:szCs w:val="32"/>
        </w:rPr>
        <w:t>九、国有资本经营预算财政拨款收入支出决算情况说明</w:t>
      </w:r>
    </w:p>
    <w:p w14:paraId="02C0A600"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3AD0CDE" w14:textId="77777777" w:rsidR="00400580" w:rsidRDefault="00000000">
      <w:pPr>
        <w:ind w:firstLineChars="200" w:firstLine="640"/>
        <w:jc w:val="left"/>
        <w:outlineLvl w:val="1"/>
        <w:rPr>
          <w:rFonts w:ascii="黑体" w:eastAsia="黑体" w:hAnsi="黑体" w:cs="宋体" w:hint="eastAsia"/>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14:paraId="10D36357" w14:textId="77777777" w:rsidR="00400580" w:rsidRDefault="00000000">
      <w:pPr>
        <w:ind w:firstLineChars="200" w:firstLine="640"/>
        <w:jc w:val="left"/>
        <w:outlineLvl w:val="2"/>
        <w:rPr>
          <w:rFonts w:ascii="黑体" w:eastAsia="黑体" w:hAnsi="黑体" w:hint="eastAsia"/>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14:paraId="1896BE0D" w14:textId="77777777" w:rsidR="00400580" w:rsidRDefault="00000000">
      <w:pPr>
        <w:ind w:firstLineChars="200" w:firstLine="640"/>
        <w:rPr>
          <w:rFonts w:ascii="仿宋_GB2312" w:eastAsia="仿宋_GB2312" w:hAnsi="仿宋_GB2312" w:cs="仿宋_GB2312" w:hint="eastAsia"/>
          <w:sz w:val="32"/>
          <w:szCs w:val="32"/>
          <w:lang w:val="zh-CN"/>
        </w:rPr>
      </w:pPr>
      <w:bookmarkStart w:id="26" w:name="_Toc227"/>
      <w:bookmarkStart w:id="27"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米东区畜牧兽医站（事业单位）公用经费支出127.01万元，</w:t>
      </w:r>
      <w:r>
        <w:rPr>
          <w:rFonts w:ascii="仿宋_GB2312" w:eastAsia="仿宋_GB2312" w:hAnsi="仿宋_GB2312" w:cs="仿宋_GB2312" w:hint="eastAsia"/>
          <w:sz w:val="32"/>
          <w:szCs w:val="32"/>
          <w:lang w:val="zh-CN"/>
        </w:rPr>
        <w:t>比上年增加32.97万元，增长35.06%，主要原因是：</w:t>
      </w:r>
      <w:r>
        <w:rPr>
          <w:rFonts w:ascii="仿宋_GB2312" w:eastAsia="仿宋_GB2312" w:hAnsi="仿宋_GB2312" w:cs="仿宋_GB2312" w:hint="eastAsia"/>
          <w:sz w:val="32"/>
          <w:szCs w:val="32"/>
        </w:rPr>
        <w:t>单位本年</w:t>
      </w:r>
      <w:r>
        <w:rPr>
          <w:rFonts w:ascii="仿宋_GB2312" w:eastAsia="仿宋_GB2312" w:hint="eastAsia"/>
          <w:sz w:val="32"/>
          <w:szCs w:val="32"/>
        </w:rPr>
        <w:t>专用材料费、劳务费、工会经费较上年增加。</w:t>
      </w:r>
    </w:p>
    <w:p w14:paraId="6A05AA19" w14:textId="77777777" w:rsidR="00400580"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14:paraId="765B75D1" w14:textId="77777777" w:rsidR="0040058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2023年度政府采购支出总额24.10万元，其中：政府采购货物支出0.00万元、政府采购工程支出0.00万元、政府采购服务支出24.10万元。</w:t>
      </w:r>
    </w:p>
    <w:p w14:paraId="2DC3D2FB" w14:textId="77777777" w:rsidR="00400580"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授予中小企业合同金额24.10万元，占政府采购支出总额的100.00%，其中：授予小微企业合同金额24.10万元，占政府采购支出总额的100.00%</w:t>
      </w:r>
      <w:r>
        <w:rPr>
          <w:rFonts w:ascii="仿宋_GB2312" w:eastAsia="仿宋_GB2312" w:hAnsi="仿宋_GB2312" w:cs="仿宋_GB2312" w:hint="eastAsia"/>
          <w:sz w:val="32"/>
          <w:szCs w:val="32"/>
        </w:rPr>
        <w:t>。</w:t>
      </w:r>
    </w:p>
    <w:p w14:paraId="4C81AAFE" w14:textId="77777777" w:rsidR="00400580" w:rsidRDefault="00000000">
      <w:pPr>
        <w:ind w:firstLineChars="200" w:firstLine="640"/>
        <w:jc w:val="left"/>
        <w:rPr>
          <w:rFonts w:eastAsia="黑体"/>
          <w:sz w:val="32"/>
          <w:szCs w:val="30"/>
          <w:lang w:val="zh-CN"/>
        </w:rPr>
      </w:pPr>
      <w:bookmarkStart w:id="28" w:name="_Toc8391"/>
      <w:bookmarkStart w:id="29" w:name="_Toc4591"/>
      <w:r>
        <w:rPr>
          <w:rFonts w:eastAsia="黑体" w:hint="eastAsia"/>
          <w:sz w:val="32"/>
          <w:szCs w:val="30"/>
          <w:lang w:val="zh-CN"/>
        </w:rPr>
        <w:t>（三）国有资产占用情况说明</w:t>
      </w:r>
      <w:bookmarkEnd w:id="28"/>
      <w:bookmarkEnd w:id="29"/>
    </w:p>
    <w:p w14:paraId="2589BAE0" w14:textId="77777777" w:rsidR="0040058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249.72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lastRenderedPageBreak/>
        <w:t>房</w:t>
      </w:r>
      <w:r>
        <w:rPr>
          <w:rFonts w:ascii="仿宋_GB2312" w:eastAsia="仿宋_GB2312" w:hAnsi="仿宋_GB2312" w:cs="仿宋_GB2312" w:hint="eastAsia"/>
          <w:sz w:val="32"/>
          <w:szCs w:val="32"/>
          <w:lang w:val="zh-CN"/>
        </w:rPr>
        <w:t>屋2,170.00平方米，价值64.61万元。车辆3辆，价值65.93万元，其中：副部（省）级及以上领导用车0辆、主要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用车0辆、机要通信用车0辆、应急保障用车1辆、执法执勤用车1辆、特种专业技术用车0辆、离退休干部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Pr>
          <w:rFonts w:ascii="仿宋_GB2312" w:eastAsia="仿宋_GB2312" w:hAnsi="仿宋_GB2312" w:cs="仿宋_GB2312" w:hint="eastAsia"/>
          <w:sz w:val="32"/>
          <w:szCs w:val="32"/>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FD2ECBB" w14:textId="77777777" w:rsidR="00400580" w:rsidRDefault="00000000">
      <w:pPr>
        <w:ind w:firstLineChars="200" w:firstLine="640"/>
        <w:jc w:val="left"/>
        <w:outlineLvl w:val="1"/>
        <w:rPr>
          <w:rFonts w:ascii="黑体" w:eastAsia="黑体" w:hAnsi="黑体" w:cs="宋体" w:hint="eastAsia"/>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49D0951B" w14:textId="7C4AD789" w:rsidR="00400580" w:rsidRDefault="00000000">
      <w:pPr>
        <w:spacing w:line="600" w:lineRule="exact"/>
        <w:ind w:firstLineChars="300" w:firstLine="96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预算总额722.71万元，实际执行总额647.93万元；预算绩效评价项目2个，全年预算数127.53万元，全年执行数69.64万元。预算绩效管理取得的成效：一是</w:t>
      </w:r>
      <w:r>
        <w:rPr>
          <w:rFonts w:ascii="仿宋_GB2312" w:eastAsia="仿宋_GB2312" w:hAnsi="宋体" w:hint="eastAsia"/>
          <w:bCs/>
          <w:sz w:val="32"/>
          <w:szCs w:val="32"/>
        </w:rPr>
        <w:t>强制免疫病种群体免疫密度90%，已达到监控节点比率；从源头进行控制，有效地提高动物疫病防控能力，降低疫病风险，维护生态环境安全</w:t>
      </w:r>
      <w:r>
        <w:rPr>
          <w:rFonts w:ascii="仿宋_GB2312" w:eastAsia="仿宋_GB2312" w:hint="eastAsia"/>
          <w:sz w:val="32"/>
          <w:szCs w:val="32"/>
        </w:rPr>
        <w:t>；二是</w:t>
      </w:r>
      <w:r>
        <w:rPr>
          <w:rFonts w:ascii="仿宋_GB2312" w:eastAsia="仿宋_GB2312" w:hAnsi="宋体" w:hint="eastAsia"/>
          <w:bCs/>
          <w:sz w:val="32"/>
          <w:szCs w:val="32"/>
        </w:rPr>
        <w:t>非洲猪瘟、高致病性食流感排查100%，保障了全区畜牧业生产安全、畜产品质量安全、公共卫生安全和生态安全</w:t>
      </w:r>
      <w:r>
        <w:rPr>
          <w:rFonts w:ascii="仿宋_GB2312" w:eastAsia="仿宋_GB2312" w:hint="eastAsia"/>
          <w:sz w:val="32"/>
          <w:szCs w:val="32"/>
        </w:rPr>
        <w:t>。发现的问题及原因</w:t>
      </w:r>
      <w:r w:rsidR="00852B26">
        <w:rPr>
          <w:rFonts w:ascii="仿宋_GB2312" w:eastAsia="仿宋_GB2312" w:hint="eastAsia"/>
          <w:sz w:val="32"/>
          <w:szCs w:val="32"/>
        </w:rPr>
        <w:t>：</w:t>
      </w:r>
      <w:r>
        <w:rPr>
          <w:rFonts w:ascii="仿宋_GB2312" w:eastAsia="仿宋_GB2312" w:hAnsi="宋体" w:hint="eastAsia"/>
          <w:bCs/>
          <w:sz w:val="32"/>
          <w:szCs w:val="32"/>
        </w:rPr>
        <w:t>一是部门职能不明确，个别工作分工不清晰，且人员培训和绩效考核制度不够完善，考核方案部分内容和人员名单更新滞后；二是预算编制科学性的问题。首先预算编制之合理性相对不足，主要表现在实际执行数与年初预算有差异，年度目标与长期规划衔接的紧密程度需要增强；三是部门整体绩效指标应从单位全局高度出发，围绕部门单位履职的核</w:t>
      </w:r>
      <w:r>
        <w:rPr>
          <w:rFonts w:ascii="仿宋_GB2312" w:eastAsia="仿宋_GB2312" w:hAnsi="宋体" w:hint="eastAsia"/>
          <w:bCs/>
          <w:sz w:val="32"/>
          <w:szCs w:val="32"/>
        </w:rPr>
        <w:lastRenderedPageBreak/>
        <w:t>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w:t>
      </w:r>
      <w:r>
        <w:rPr>
          <w:rFonts w:ascii="仿宋_GB2312" w:eastAsia="仿宋_GB2312" w:hint="eastAsia"/>
          <w:sz w:val="32"/>
          <w:szCs w:val="32"/>
        </w:rPr>
        <w:t>下一步改进措施：</w:t>
      </w:r>
      <w:r>
        <w:rPr>
          <w:rFonts w:ascii="仿宋_GB2312" w:eastAsia="仿宋_GB2312" w:hAnsi="宋体" w:hint="eastAsia"/>
          <w:bCs/>
          <w:sz w:val="32"/>
          <w:szCs w:val="32"/>
        </w:rPr>
        <w:t>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w:t>
      </w:r>
      <w:r w:rsidR="004528CD">
        <w:rPr>
          <w:rFonts w:ascii="仿宋_GB2312" w:eastAsia="仿宋_GB2312" w:hAnsi="宋体" w:hint="eastAsia"/>
          <w:bCs/>
          <w:sz w:val="32"/>
          <w:szCs w:val="32"/>
        </w:rPr>
        <w:t>；</w:t>
      </w:r>
      <w:r>
        <w:rPr>
          <w:rFonts w:ascii="仿宋_GB2312" w:eastAsia="仿宋_GB2312" w:hAnsi="宋体" w:hint="eastAsia"/>
          <w:bCs/>
          <w:sz w:val="32"/>
          <w:szCs w:val="32"/>
        </w:rPr>
        <w:t>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sidR="004528CD">
        <w:rPr>
          <w:rFonts w:ascii="仿宋_GB2312" w:eastAsia="仿宋_GB2312" w:hAnsi="宋体" w:hint="eastAsia"/>
          <w:bCs/>
          <w:sz w:val="32"/>
          <w:szCs w:val="32"/>
        </w:rPr>
        <w:t>；</w:t>
      </w:r>
      <w:r>
        <w:rPr>
          <w:rFonts w:ascii="仿宋_GB2312" w:eastAsia="仿宋_GB2312" w:hAnsi="宋体" w:hint="eastAsia"/>
          <w:bCs/>
          <w:sz w:val="32"/>
          <w:szCs w:val="32"/>
        </w:rPr>
        <w:t>三是重视部门整体支出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w:t>
      </w:r>
      <w:r>
        <w:rPr>
          <w:rFonts w:ascii="仿宋_GB2312" w:eastAsia="仿宋_GB2312" w:hint="eastAsia"/>
          <w:sz w:val="32"/>
          <w:szCs w:val="32"/>
        </w:rPr>
        <w:t>具体项目自评情况附绩效自评表及自评报告。</w:t>
      </w:r>
    </w:p>
    <w:p w14:paraId="61F4F81C" w14:textId="77777777" w:rsidR="00400580"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部门（单位）整体支出绩效目标自评表</w:t>
      </w:r>
    </w:p>
    <w:p w14:paraId="0DDF3912" w14:textId="77777777" w:rsidR="0040058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400580" w14:paraId="4B6A50E9"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9D146C"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7025458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米东区动物防疫站</w:t>
            </w:r>
          </w:p>
        </w:tc>
        <w:tc>
          <w:tcPr>
            <w:tcW w:w="284" w:type="dxa"/>
            <w:tcBorders>
              <w:top w:val="nil"/>
              <w:left w:val="nil"/>
              <w:bottom w:val="nil"/>
              <w:right w:val="nil"/>
            </w:tcBorders>
            <w:shd w:val="clear" w:color="auto" w:fill="auto"/>
            <w:noWrap/>
            <w:vAlign w:val="center"/>
          </w:tcPr>
          <w:p w14:paraId="60E850A2" w14:textId="77777777" w:rsidR="00400580" w:rsidRDefault="00400580">
            <w:pPr>
              <w:widowControl/>
              <w:jc w:val="left"/>
              <w:rPr>
                <w:rFonts w:ascii="宋体" w:hAnsi="宋体" w:cs="宋体" w:hint="eastAsia"/>
                <w:b/>
                <w:bCs/>
                <w:kern w:val="0"/>
                <w:sz w:val="18"/>
                <w:szCs w:val="18"/>
              </w:rPr>
            </w:pPr>
          </w:p>
        </w:tc>
      </w:tr>
      <w:tr w:rsidR="00400580" w14:paraId="55EA4762"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AED05D"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757C51D4"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3D5C2E3F"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14670706"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4F852661"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421E2FBB"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1B19E045"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4ABD678B"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5F3A2D57" w14:textId="77777777" w:rsidR="00400580" w:rsidRDefault="00400580">
            <w:pPr>
              <w:widowControl/>
              <w:jc w:val="center"/>
              <w:rPr>
                <w:rFonts w:ascii="宋体" w:hAnsi="宋体" w:cs="宋体" w:hint="eastAsia"/>
                <w:b/>
                <w:bCs/>
                <w:kern w:val="0"/>
                <w:sz w:val="18"/>
                <w:szCs w:val="18"/>
              </w:rPr>
            </w:pPr>
          </w:p>
        </w:tc>
      </w:tr>
      <w:tr w:rsidR="00400580" w14:paraId="243B6EAC"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17C16035" w14:textId="77777777" w:rsidR="00400580" w:rsidRDefault="0040058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7094906A"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0E75376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691.20</w:t>
            </w:r>
          </w:p>
        </w:tc>
        <w:tc>
          <w:tcPr>
            <w:tcW w:w="1134" w:type="dxa"/>
            <w:tcBorders>
              <w:top w:val="nil"/>
              <w:left w:val="nil"/>
              <w:bottom w:val="single" w:sz="4" w:space="0" w:color="auto"/>
              <w:right w:val="single" w:sz="4" w:space="0" w:color="auto"/>
            </w:tcBorders>
            <w:shd w:val="clear" w:color="auto" w:fill="auto"/>
            <w:vAlign w:val="center"/>
          </w:tcPr>
          <w:p w14:paraId="41DC59C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722.71</w:t>
            </w:r>
          </w:p>
        </w:tc>
        <w:tc>
          <w:tcPr>
            <w:tcW w:w="2126" w:type="dxa"/>
            <w:tcBorders>
              <w:top w:val="nil"/>
              <w:left w:val="nil"/>
              <w:bottom w:val="single" w:sz="4" w:space="0" w:color="auto"/>
              <w:right w:val="single" w:sz="4" w:space="0" w:color="auto"/>
            </w:tcBorders>
            <w:shd w:val="clear" w:color="auto" w:fill="auto"/>
            <w:vAlign w:val="center"/>
          </w:tcPr>
          <w:p w14:paraId="3D6D8AA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647.93</w:t>
            </w:r>
          </w:p>
        </w:tc>
        <w:tc>
          <w:tcPr>
            <w:tcW w:w="1004" w:type="dxa"/>
            <w:tcBorders>
              <w:top w:val="nil"/>
              <w:left w:val="nil"/>
              <w:bottom w:val="single" w:sz="4" w:space="0" w:color="auto"/>
              <w:right w:val="single" w:sz="4" w:space="0" w:color="auto"/>
            </w:tcBorders>
            <w:shd w:val="clear" w:color="auto" w:fill="auto"/>
            <w:vAlign w:val="center"/>
          </w:tcPr>
          <w:p w14:paraId="2E6BF9B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839" w:type="dxa"/>
            <w:tcBorders>
              <w:top w:val="nil"/>
              <w:left w:val="nil"/>
              <w:bottom w:val="single" w:sz="4" w:space="0" w:color="auto"/>
              <w:right w:val="single" w:sz="4" w:space="0" w:color="auto"/>
            </w:tcBorders>
            <w:shd w:val="clear" w:color="auto" w:fill="auto"/>
            <w:vAlign w:val="center"/>
          </w:tcPr>
          <w:p w14:paraId="7F578FE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89.65%</w:t>
            </w:r>
          </w:p>
        </w:tc>
        <w:tc>
          <w:tcPr>
            <w:tcW w:w="720" w:type="dxa"/>
            <w:tcBorders>
              <w:top w:val="nil"/>
              <w:left w:val="nil"/>
              <w:bottom w:val="single" w:sz="4" w:space="0" w:color="auto"/>
              <w:right w:val="single" w:sz="4" w:space="0" w:color="auto"/>
            </w:tcBorders>
            <w:shd w:val="clear" w:color="auto" w:fill="auto"/>
            <w:vAlign w:val="center"/>
          </w:tcPr>
          <w:p w14:paraId="5D39B55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8.97</w:t>
            </w:r>
          </w:p>
        </w:tc>
        <w:tc>
          <w:tcPr>
            <w:tcW w:w="284" w:type="dxa"/>
            <w:tcBorders>
              <w:top w:val="nil"/>
              <w:left w:val="nil"/>
              <w:bottom w:val="nil"/>
              <w:right w:val="nil"/>
            </w:tcBorders>
            <w:shd w:val="clear" w:color="auto" w:fill="auto"/>
            <w:noWrap/>
            <w:vAlign w:val="center"/>
          </w:tcPr>
          <w:p w14:paraId="09EEABA4" w14:textId="77777777" w:rsidR="00400580" w:rsidRDefault="00400580">
            <w:pPr>
              <w:widowControl/>
              <w:jc w:val="center"/>
              <w:rPr>
                <w:rFonts w:ascii="宋体" w:hAnsi="宋体" w:cs="宋体" w:hint="eastAsia"/>
                <w:b/>
                <w:bCs/>
                <w:kern w:val="0"/>
                <w:sz w:val="18"/>
                <w:szCs w:val="18"/>
              </w:rPr>
            </w:pPr>
          </w:p>
        </w:tc>
      </w:tr>
      <w:tr w:rsidR="00400580" w14:paraId="3F86D653"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171189E3" w14:textId="77777777" w:rsidR="00400580" w:rsidRDefault="0040058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6E3954C"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33E3313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79.95</w:t>
            </w:r>
          </w:p>
        </w:tc>
        <w:tc>
          <w:tcPr>
            <w:tcW w:w="1134" w:type="dxa"/>
            <w:tcBorders>
              <w:top w:val="nil"/>
              <w:left w:val="nil"/>
              <w:bottom w:val="single" w:sz="4" w:space="0" w:color="auto"/>
              <w:right w:val="single" w:sz="4" w:space="0" w:color="auto"/>
            </w:tcBorders>
            <w:shd w:val="clear" w:color="auto" w:fill="auto"/>
            <w:vAlign w:val="center"/>
          </w:tcPr>
          <w:p w14:paraId="2DE3019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144.42</w:t>
            </w:r>
          </w:p>
        </w:tc>
        <w:tc>
          <w:tcPr>
            <w:tcW w:w="2126" w:type="dxa"/>
            <w:tcBorders>
              <w:top w:val="nil"/>
              <w:left w:val="nil"/>
              <w:bottom w:val="single" w:sz="4" w:space="0" w:color="auto"/>
              <w:right w:val="single" w:sz="4" w:space="0" w:color="auto"/>
            </w:tcBorders>
            <w:shd w:val="clear" w:color="auto" w:fill="auto"/>
            <w:vAlign w:val="center"/>
          </w:tcPr>
          <w:p w14:paraId="78BFC63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69.64</w:t>
            </w:r>
          </w:p>
        </w:tc>
        <w:tc>
          <w:tcPr>
            <w:tcW w:w="1004" w:type="dxa"/>
            <w:tcBorders>
              <w:top w:val="nil"/>
              <w:left w:val="nil"/>
              <w:bottom w:val="single" w:sz="4" w:space="0" w:color="auto"/>
              <w:right w:val="single" w:sz="4" w:space="0" w:color="auto"/>
            </w:tcBorders>
            <w:shd w:val="clear" w:color="auto" w:fill="auto"/>
            <w:vAlign w:val="center"/>
          </w:tcPr>
          <w:p w14:paraId="7023B15F" w14:textId="77777777" w:rsidR="00400580"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shd w:val="clear" w:color="auto" w:fill="auto"/>
            <w:vAlign w:val="center"/>
          </w:tcPr>
          <w:p w14:paraId="24588CB7" w14:textId="77777777" w:rsidR="00400580"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shd w:val="clear" w:color="auto" w:fill="auto"/>
            <w:vAlign w:val="center"/>
          </w:tcPr>
          <w:p w14:paraId="741AFE0D" w14:textId="77777777" w:rsidR="00400580"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shd w:val="clear" w:color="auto" w:fill="auto"/>
            <w:noWrap/>
            <w:vAlign w:val="center"/>
          </w:tcPr>
          <w:p w14:paraId="4A91340E" w14:textId="77777777" w:rsidR="00400580" w:rsidRDefault="00400580">
            <w:pPr>
              <w:widowControl/>
              <w:jc w:val="center"/>
              <w:rPr>
                <w:rFonts w:ascii="宋体" w:hAnsi="宋体" w:cs="宋体" w:hint="eastAsia"/>
                <w:kern w:val="0"/>
                <w:sz w:val="18"/>
                <w:szCs w:val="18"/>
              </w:rPr>
            </w:pPr>
          </w:p>
        </w:tc>
      </w:tr>
      <w:tr w:rsidR="00400580" w14:paraId="3711A0FF"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2D914CE" w14:textId="77777777" w:rsidR="00400580" w:rsidRDefault="0040058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CFFF6D5"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12AD149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14FC663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31EAE32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1B199428" w14:textId="77777777" w:rsidR="00400580"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shd w:val="clear" w:color="auto" w:fill="auto"/>
            <w:vAlign w:val="center"/>
          </w:tcPr>
          <w:p w14:paraId="3F558A76" w14:textId="77777777" w:rsidR="00400580"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shd w:val="clear" w:color="auto" w:fill="auto"/>
            <w:vAlign w:val="center"/>
          </w:tcPr>
          <w:p w14:paraId="4FADB918" w14:textId="77777777" w:rsidR="00400580"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shd w:val="clear" w:color="auto" w:fill="auto"/>
            <w:noWrap/>
            <w:vAlign w:val="center"/>
          </w:tcPr>
          <w:p w14:paraId="56A29A98" w14:textId="77777777" w:rsidR="00400580" w:rsidRDefault="00400580">
            <w:pPr>
              <w:widowControl/>
              <w:jc w:val="center"/>
              <w:rPr>
                <w:rFonts w:ascii="宋体" w:hAnsi="宋体" w:cs="宋体" w:hint="eastAsia"/>
                <w:kern w:val="0"/>
                <w:sz w:val="18"/>
                <w:szCs w:val="18"/>
              </w:rPr>
            </w:pPr>
          </w:p>
        </w:tc>
      </w:tr>
      <w:tr w:rsidR="00400580" w14:paraId="6F0CC709"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3A5A2011" w14:textId="77777777" w:rsidR="00400580" w:rsidRDefault="0040058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E8D0651"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338189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4A14E19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1E1EBA9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1BE81150"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0ECEC3A"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C2F2F76"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93C72CD" w14:textId="77777777" w:rsidR="00400580" w:rsidRDefault="00400580">
            <w:pPr>
              <w:widowControl/>
              <w:jc w:val="center"/>
              <w:rPr>
                <w:rFonts w:ascii="宋体" w:hAnsi="宋体" w:cs="宋体" w:hint="eastAsia"/>
                <w:kern w:val="0"/>
                <w:sz w:val="18"/>
                <w:szCs w:val="18"/>
              </w:rPr>
            </w:pPr>
          </w:p>
        </w:tc>
      </w:tr>
      <w:tr w:rsidR="00400580" w14:paraId="7803BA5B"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583C96AF" w14:textId="77777777" w:rsidR="00400580" w:rsidRDefault="0040058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76D9F80"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338CC8D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611.25</w:t>
            </w:r>
          </w:p>
        </w:tc>
        <w:tc>
          <w:tcPr>
            <w:tcW w:w="1134" w:type="dxa"/>
            <w:tcBorders>
              <w:top w:val="nil"/>
              <w:left w:val="nil"/>
              <w:bottom w:val="single" w:sz="4" w:space="0" w:color="auto"/>
              <w:right w:val="single" w:sz="4" w:space="0" w:color="auto"/>
            </w:tcBorders>
            <w:shd w:val="clear" w:color="auto" w:fill="auto"/>
            <w:vAlign w:val="center"/>
          </w:tcPr>
          <w:p w14:paraId="3B02BE8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578.29</w:t>
            </w:r>
          </w:p>
        </w:tc>
        <w:tc>
          <w:tcPr>
            <w:tcW w:w="2126" w:type="dxa"/>
            <w:tcBorders>
              <w:top w:val="nil"/>
              <w:left w:val="nil"/>
              <w:bottom w:val="single" w:sz="4" w:space="0" w:color="auto"/>
              <w:right w:val="single" w:sz="4" w:space="0" w:color="auto"/>
            </w:tcBorders>
            <w:shd w:val="clear" w:color="auto" w:fill="auto"/>
            <w:vAlign w:val="center"/>
          </w:tcPr>
          <w:p w14:paraId="7354C8C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578.29</w:t>
            </w:r>
          </w:p>
        </w:tc>
        <w:tc>
          <w:tcPr>
            <w:tcW w:w="1004" w:type="dxa"/>
            <w:tcBorders>
              <w:top w:val="nil"/>
              <w:left w:val="nil"/>
              <w:bottom w:val="single" w:sz="4" w:space="0" w:color="auto"/>
              <w:right w:val="single" w:sz="4" w:space="0" w:color="auto"/>
            </w:tcBorders>
            <w:shd w:val="clear" w:color="auto" w:fill="auto"/>
            <w:vAlign w:val="center"/>
          </w:tcPr>
          <w:p w14:paraId="16A7D59C"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FBA8EA0"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2FE5881"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296388A" w14:textId="77777777" w:rsidR="00400580" w:rsidRDefault="00400580">
            <w:pPr>
              <w:widowControl/>
              <w:jc w:val="center"/>
              <w:rPr>
                <w:rFonts w:ascii="宋体" w:hAnsi="宋体" w:cs="宋体" w:hint="eastAsia"/>
                <w:kern w:val="0"/>
                <w:sz w:val="18"/>
                <w:szCs w:val="18"/>
              </w:rPr>
            </w:pPr>
          </w:p>
        </w:tc>
      </w:tr>
      <w:tr w:rsidR="00400580" w14:paraId="3C87CDD0"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211260D" w14:textId="77777777" w:rsidR="00400580" w:rsidRDefault="0040058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6ED9744"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03D0DDA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7ED504B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4D23F77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77DA6A05"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1224C70"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BDB19A9"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F745258" w14:textId="77777777" w:rsidR="00400580" w:rsidRDefault="00400580">
            <w:pPr>
              <w:widowControl/>
              <w:jc w:val="center"/>
              <w:rPr>
                <w:rFonts w:ascii="宋体" w:hAnsi="宋体" w:cs="宋体" w:hint="eastAsia"/>
                <w:kern w:val="0"/>
                <w:sz w:val="18"/>
                <w:szCs w:val="18"/>
              </w:rPr>
            </w:pPr>
          </w:p>
        </w:tc>
      </w:tr>
      <w:tr w:rsidR="00400580" w14:paraId="0C642721"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EF8838"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40499626"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6212066C"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688D362C" w14:textId="77777777" w:rsidR="00400580" w:rsidRDefault="00400580">
            <w:pPr>
              <w:widowControl/>
              <w:jc w:val="left"/>
              <w:rPr>
                <w:rFonts w:ascii="宋体" w:hAnsi="宋体" w:cs="宋体" w:hint="eastAsia"/>
                <w:b/>
                <w:bCs/>
                <w:kern w:val="0"/>
                <w:sz w:val="18"/>
                <w:szCs w:val="18"/>
              </w:rPr>
            </w:pPr>
          </w:p>
        </w:tc>
      </w:tr>
      <w:tr w:rsidR="00400580" w14:paraId="1A42D740"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93DDB1A" w14:textId="77777777" w:rsidR="00400580" w:rsidRDefault="00400580">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550B6489" w14:textId="77777777" w:rsidR="0040058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口蹄疫、高致病性禽流感、小反刍兽强制免疫率度达到95%，平均免疫抗体合格率常年保持85%以上:强制扑杀应补尽补;生猪养殖重点区域养列植环节病死猪无害化处理应补尽补。</w:t>
            </w:r>
          </w:p>
        </w:tc>
        <w:tc>
          <w:tcPr>
            <w:tcW w:w="4689" w:type="dxa"/>
            <w:gridSpan w:val="4"/>
            <w:tcBorders>
              <w:top w:val="single" w:sz="4" w:space="0" w:color="auto"/>
              <w:left w:val="nil"/>
              <w:bottom w:val="single" w:sz="4" w:space="0" w:color="auto"/>
              <w:right w:val="single" w:sz="4" w:space="0" w:color="auto"/>
            </w:tcBorders>
            <w:shd w:val="clear" w:color="auto" w:fill="auto"/>
          </w:tcPr>
          <w:p w14:paraId="311CD1C8" w14:textId="77777777" w:rsidR="0040058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我站2023年监测辖区内养殖场86个,强制免疫病种群体免疫密度95%，强制免疫病种群体免疫密度达到100%，高致病性禽流感、口蹄疫和小反鸟兽接免疫抗体合格率达到预期值70%，非洲猪瘟、高致病性食流感排查100%，猪瘟、新城疫、狂犬病等免疫密度90%，做好全市动物疫病防治工作，保障全区畜牧业生产安全、畜产品质量安全、公共卫生安全和生态安全。</w:t>
            </w:r>
          </w:p>
        </w:tc>
        <w:tc>
          <w:tcPr>
            <w:tcW w:w="284" w:type="dxa"/>
            <w:tcBorders>
              <w:top w:val="nil"/>
              <w:left w:val="nil"/>
              <w:bottom w:val="nil"/>
              <w:right w:val="nil"/>
            </w:tcBorders>
            <w:shd w:val="clear" w:color="auto" w:fill="auto"/>
            <w:noWrap/>
            <w:vAlign w:val="center"/>
          </w:tcPr>
          <w:p w14:paraId="39A8C2B8" w14:textId="77777777" w:rsidR="00400580" w:rsidRDefault="00400580">
            <w:pPr>
              <w:widowControl/>
              <w:jc w:val="left"/>
              <w:rPr>
                <w:rFonts w:ascii="宋体" w:hAnsi="宋体" w:cs="宋体" w:hint="eastAsia"/>
                <w:kern w:val="0"/>
                <w:sz w:val="18"/>
                <w:szCs w:val="18"/>
              </w:rPr>
            </w:pPr>
          </w:p>
        </w:tc>
      </w:tr>
      <w:tr w:rsidR="00400580" w14:paraId="28A2665A"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14873E4"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2392A9CD"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4C88EB3F"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3BB5BE8E"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465C324A"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5A021F84"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1E7FF49B"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2DD79622"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42A75631" w14:textId="77777777" w:rsidR="00400580" w:rsidRDefault="00400580">
            <w:pPr>
              <w:widowControl/>
              <w:jc w:val="left"/>
              <w:rPr>
                <w:rFonts w:ascii="宋体" w:hAnsi="宋体" w:cs="宋体" w:hint="eastAsia"/>
                <w:b/>
                <w:bCs/>
                <w:kern w:val="0"/>
                <w:sz w:val="18"/>
                <w:szCs w:val="18"/>
              </w:rPr>
            </w:pPr>
          </w:p>
        </w:tc>
      </w:tr>
      <w:tr w:rsidR="00400580" w14:paraId="0ACC5144"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93D4849"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履职效能</w:t>
            </w:r>
          </w:p>
        </w:tc>
        <w:tc>
          <w:tcPr>
            <w:tcW w:w="1417" w:type="dxa"/>
            <w:tcBorders>
              <w:top w:val="nil"/>
              <w:left w:val="nil"/>
              <w:bottom w:val="single" w:sz="4" w:space="0" w:color="auto"/>
              <w:right w:val="single" w:sz="4" w:space="0" w:color="auto"/>
            </w:tcBorders>
            <w:shd w:val="clear" w:color="auto" w:fill="auto"/>
            <w:noWrap/>
            <w:vAlign w:val="center"/>
          </w:tcPr>
          <w:p w14:paraId="3F0AFE33"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3C6B0B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监测辖区内养殖场个数</w:t>
            </w:r>
          </w:p>
        </w:tc>
        <w:tc>
          <w:tcPr>
            <w:tcW w:w="1134" w:type="dxa"/>
            <w:tcBorders>
              <w:top w:val="nil"/>
              <w:left w:val="nil"/>
              <w:bottom w:val="single" w:sz="4" w:space="0" w:color="auto"/>
              <w:right w:val="single" w:sz="4" w:space="0" w:color="auto"/>
            </w:tcBorders>
            <w:shd w:val="clear" w:color="auto" w:fill="auto"/>
            <w:noWrap/>
            <w:vAlign w:val="center"/>
          </w:tcPr>
          <w:p w14:paraId="1876FDB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&gt;=86个</w:t>
            </w:r>
          </w:p>
        </w:tc>
        <w:tc>
          <w:tcPr>
            <w:tcW w:w="2126" w:type="dxa"/>
            <w:tcBorders>
              <w:top w:val="nil"/>
              <w:left w:val="nil"/>
              <w:bottom w:val="single" w:sz="4" w:space="0" w:color="auto"/>
              <w:right w:val="single" w:sz="4" w:space="0" w:color="auto"/>
            </w:tcBorders>
            <w:shd w:val="clear" w:color="auto" w:fill="auto"/>
            <w:noWrap/>
            <w:vAlign w:val="center"/>
          </w:tcPr>
          <w:p w14:paraId="27EFC15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2023年米东区重大动 物疫病监测计划</w:t>
            </w:r>
          </w:p>
        </w:tc>
        <w:tc>
          <w:tcPr>
            <w:tcW w:w="1004" w:type="dxa"/>
            <w:tcBorders>
              <w:top w:val="nil"/>
              <w:left w:val="nil"/>
              <w:bottom w:val="single" w:sz="4" w:space="0" w:color="auto"/>
              <w:right w:val="single" w:sz="4" w:space="0" w:color="auto"/>
            </w:tcBorders>
            <w:shd w:val="clear" w:color="auto" w:fill="auto"/>
            <w:noWrap/>
            <w:vAlign w:val="center"/>
          </w:tcPr>
          <w:p w14:paraId="33D86C5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86</w:t>
            </w:r>
          </w:p>
        </w:tc>
        <w:tc>
          <w:tcPr>
            <w:tcW w:w="839" w:type="dxa"/>
            <w:tcBorders>
              <w:top w:val="nil"/>
              <w:left w:val="nil"/>
              <w:bottom w:val="single" w:sz="4" w:space="0" w:color="auto"/>
              <w:right w:val="single" w:sz="4" w:space="0" w:color="auto"/>
            </w:tcBorders>
            <w:shd w:val="clear" w:color="auto" w:fill="auto"/>
            <w:noWrap/>
            <w:vAlign w:val="center"/>
          </w:tcPr>
          <w:p w14:paraId="10C006C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720" w:type="dxa"/>
            <w:tcBorders>
              <w:top w:val="nil"/>
              <w:left w:val="nil"/>
              <w:bottom w:val="single" w:sz="4" w:space="0" w:color="auto"/>
              <w:right w:val="single" w:sz="4" w:space="0" w:color="auto"/>
            </w:tcBorders>
            <w:shd w:val="clear" w:color="auto" w:fill="auto"/>
            <w:noWrap/>
            <w:vAlign w:val="center"/>
          </w:tcPr>
          <w:p w14:paraId="31D04E8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84" w:type="dxa"/>
            <w:tcBorders>
              <w:top w:val="nil"/>
              <w:left w:val="nil"/>
              <w:bottom w:val="nil"/>
              <w:right w:val="nil"/>
            </w:tcBorders>
            <w:shd w:val="clear" w:color="auto" w:fill="auto"/>
            <w:noWrap/>
            <w:vAlign w:val="center"/>
          </w:tcPr>
          <w:p w14:paraId="1F61ECF6" w14:textId="77777777" w:rsidR="00400580" w:rsidRDefault="00400580">
            <w:pPr>
              <w:widowControl/>
              <w:jc w:val="center"/>
              <w:rPr>
                <w:rFonts w:ascii="宋体" w:hAnsi="宋体" w:cs="宋体" w:hint="eastAsia"/>
                <w:kern w:val="0"/>
                <w:sz w:val="18"/>
                <w:szCs w:val="18"/>
              </w:rPr>
            </w:pPr>
          </w:p>
        </w:tc>
      </w:tr>
      <w:tr w:rsidR="00400580" w14:paraId="4F163229"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B566482" w14:textId="77777777" w:rsidR="00400580" w:rsidRDefault="00400580">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14:paraId="1C5AC20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418" w:type="dxa"/>
            <w:tcBorders>
              <w:top w:val="nil"/>
              <w:left w:val="nil"/>
              <w:bottom w:val="single" w:sz="4" w:space="0" w:color="auto"/>
              <w:right w:val="single" w:sz="4" w:space="0" w:color="auto"/>
            </w:tcBorders>
            <w:shd w:val="clear" w:color="auto" w:fill="auto"/>
            <w:noWrap/>
            <w:vAlign w:val="center"/>
          </w:tcPr>
          <w:p w14:paraId="60D1F7C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强制免疫病种群体免疫密度</w:t>
            </w:r>
          </w:p>
        </w:tc>
        <w:tc>
          <w:tcPr>
            <w:tcW w:w="1134" w:type="dxa"/>
            <w:tcBorders>
              <w:top w:val="nil"/>
              <w:left w:val="nil"/>
              <w:bottom w:val="single" w:sz="4" w:space="0" w:color="auto"/>
              <w:right w:val="single" w:sz="4" w:space="0" w:color="auto"/>
            </w:tcBorders>
            <w:shd w:val="clear" w:color="auto" w:fill="auto"/>
            <w:noWrap/>
            <w:vAlign w:val="center"/>
          </w:tcPr>
          <w:p w14:paraId="721B95C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2126" w:type="dxa"/>
            <w:tcBorders>
              <w:top w:val="nil"/>
              <w:left w:val="nil"/>
              <w:bottom w:val="single" w:sz="4" w:space="0" w:color="auto"/>
              <w:right w:val="single" w:sz="4" w:space="0" w:color="auto"/>
            </w:tcBorders>
            <w:shd w:val="clear" w:color="auto" w:fill="auto"/>
            <w:noWrap/>
            <w:vAlign w:val="center"/>
          </w:tcPr>
          <w:p w14:paraId="274F247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米东区22023年重大动物疫病防控暨春季动物</w:t>
            </w:r>
          </w:p>
        </w:tc>
        <w:tc>
          <w:tcPr>
            <w:tcW w:w="1004" w:type="dxa"/>
            <w:tcBorders>
              <w:top w:val="nil"/>
              <w:left w:val="nil"/>
              <w:bottom w:val="single" w:sz="4" w:space="0" w:color="auto"/>
              <w:right w:val="single" w:sz="4" w:space="0" w:color="auto"/>
            </w:tcBorders>
            <w:shd w:val="clear" w:color="auto" w:fill="auto"/>
            <w:noWrap/>
            <w:vAlign w:val="center"/>
          </w:tcPr>
          <w:p w14:paraId="2236528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w:t>
            </w:r>
          </w:p>
        </w:tc>
        <w:tc>
          <w:tcPr>
            <w:tcW w:w="839" w:type="dxa"/>
            <w:tcBorders>
              <w:top w:val="nil"/>
              <w:left w:val="nil"/>
              <w:bottom w:val="single" w:sz="4" w:space="0" w:color="auto"/>
              <w:right w:val="single" w:sz="4" w:space="0" w:color="auto"/>
            </w:tcBorders>
            <w:shd w:val="clear" w:color="auto" w:fill="auto"/>
            <w:noWrap/>
            <w:vAlign w:val="center"/>
          </w:tcPr>
          <w:p w14:paraId="1908DD7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720" w:type="dxa"/>
            <w:tcBorders>
              <w:top w:val="nil"/>
              <w:left w:val="nil"/>
              <w:bottom w:val="single" w:sz="4" w:space="0" w:color="auto"/>
              <w:right w:val="single" w:sz="4" w:space="0" w:color="auto"/>
            </w:tcBorders>
            <w:shd w:val="clear" w:color="auto" w:fill="auto"/>
            <w:noWrap/>
            <w:vAlign w:val="center"/>
          </w:tcPr>
          <w:p w14:paraId="0424B83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84" w:type="dxa"/>
            <w:tcBorders>
              <w:top w:val="nil"/>
              <w:left w:val="nil"/>
              <w:bottom w:val="nil"/>
              <w:right w:val="nil"/>
            </w:tcBorders>
            <w:shd w:val="clear" w:color="auto" w:fill="auto"/>
            <w:noWrap/>
            <w:vAlign w:val="center"/>
          </w:tcPr>
          <w:p w14:paraId="0FBC8A66" w14:textId="77777777" w:rsidR="00400580" w:rsidRDefault="00400580">
            <w:pPr>
              <w:widowControl/>
              <w:jc w:val="center"/>
              <w:rPr>
                <w:rFonts w:ascii="宋体" w:hAnsi="宋体" w:cs="宋体" w:hint="eastAsia"/>
                <w:kern w:val="0"/>
                <w:sz w:val="18"/>
                <w:szCs w:val="18"/>
              </w:rPr>
            </w:pPr>
          </w:p>
        </w:tc>
      </w:tr>
      <w:tr w:rsidR="00400580" w14:paraId="42FE003A"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18F3732" w14:textId="77777777" w:rsidR="00400580" w:rsidRDefault="0040058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E454D03" w14:textId="77777777" w:rsidR="00400580" w:rsidRDefault="0040058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3A82962"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应免畜禽免疫密度</w:t>
            </w:r>
          </w:p>
        </w:tc>
        <w:tc>
          <w:tcPr>
            <w:tcW w:w="1134" w:type="dxa"/>
            <w:tcBorders>
              <w:top w:val="nil"/>
              <w:left w:val="nil"/>
              <w:bottom w:val="single" w:sz="4" w:space="0" w:color="auto"/>
              <w:right w:val="single" w:sz="4" w:space="0" w:color="auto"/>
            </w:tcBorders>
            <w:shd w:val="clear" w:color="auto" w:fill="auto"/>
            <w:noWrap/>
            <w:vAlign w:val="center"/>
          </w:tcPr>
          <w:p w14:paraId="35485E6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&gt;=100%</w:t>
            </w:r>
          </w:p>
        </w:tc>
        <w:tc>
          <w:tcPr>
            <w:tcW w:w="2126" w:type="dxa"/>
            <w:tcBorders>
              <w:top w:val="nil"/>
              <w:left w:val="nil"/>
              <w:bottom w:val="single" w:sz="4" w:space="0" w:color="auto"/>
              <w:right w:val="single" w:sz="4" w:space="0" w:color="auto"/>
            </w:tcBorders>
            <w:shd w:val="clear" w:color="auto" w:fill="auto"/>
            <w:noWrap/>
            <w:vAlign w:val="center"/>
          </w:tcPr>
          <w:p w14:paraId="345A926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米东区2023年重大动物疫病防控暨春、秋季动物集中免疫</w:t>
            </w:r>
          </w:p>
        </w:tc>
        <w:tc>
          <w:tcPr>
            <w:tcW w:w="1004" w:type="dxa"/>
            <w:tcBorders>
              <w:top w:val="nil"/>
              <w:left w:val="nil"/>
              <w:bottom w:val="single" w:sz="4" w:space="0" w:color="auto"/>
              <w:right w:val="single" w:sz="4" w:space="0" w:color="auto"/>
            </w:tcBorders>
            <w:shd w:val="clear" w:color="auto" w:fill="auto"/>
            <w:noWrap/>
            <w:vAlign w:val="center"/>
          </w:tcPr>
          <w:p w14:paraId="11AF2BF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839" w:type="dxa"/>
            <w:tcBorders>
              <w:top w:val="nil"/>
              <w:left w:val="nil"/>
              <w:bottom w:val="single" w:sz="4" w:space="0" w:color="auto"/>
              <w:right w:val="single" w:sz="4" w:space="0" w:color="auto"/>
            </w:tcBorders>
            <w:shd w:val="clear" w:color="auto" w:fill="auto"/>
            <w:noWrap/>
            <w:vAlign w:val="center"/>
          </w:tcPr>
          <w:p w14:paraId="0837A06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720" w:type="dxa"/>
            <w:tcBorders>
              <w:top w:val="nil"/>
              <w:left w:val="nil"/>
              <w:bottom w:val="single" w:sz="4" w:space="0" w:color="auto"/>
              <w:right w:val="single" w:sz="4" w:space="0" w:color="auto"/>
            </w:tcBorders>
            <w:shd w:val="clear" w:color="auto" w:fill="auto"/>
            <w:noWrap/>
            <w:vAlign w:val="center"/>
          </w:tcPr>
          <w:p w14:paraId="5911E6F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84" w:type="dxa"/>
            <w:tcBorders>
              <w:top w:val="nil"/>
              <w:left w:val="nil"/>
              <w:bottom w:val="nil"/>
              <w:right w:val="nil"/>
            </w:tcBorders>
            <w:shd w:val="clear" w:color="auto" w:fill="auto"/>
            <w:noWrap/>
            <w:vAlign w:val="center"/>
          </w:tcPr>
          <w:p w14:paraId="1ED741A4" w14:textId="77777777" w:rsidR="00400580" w:rsidRDefault="00400580">
            <w:pPr>
              <w:widowControl/>
              <w:jc w:val="center"/>
              <w:rPr>
                <w:rFonts w:ascii="宋体" w:hAnsi="宋体" w:cs="宋体" w:hint="eastAsia"/>
                <w:kern w:val="0"/>
                <w:sz w:val="18"/>
                <w:szCs w:val="18"/>
              </w:rPr>
            </w:pPr>
          </w:p>
        </w:tc>
      </w:tr>
      <w:tr w:rsidR="00400580" w14:paraId="1C601BCC"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55B8E22" w14:textId="77777777" w:rsidR="00400580" w:rsidRDefault="0040058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46878C1" w14:textId="77777777" w:rsidR="00400580" w:rsidRDefault="0040058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6ED6C1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高致病性禽流感、口蹄疫和小反鸟兽接免疫抗体合格率</w:t>
            </w:r>
          </w:p>
        </w:tc>
        <w:tc>
          <w:tcPr>
            <w:tcW w:w="1134" w:type="dxa"/>
            <w:tcBorders>
              <w:top w:val="nil"/>
              <w:left w:val="nil"/>
              <w:bottom w:val="single" w:sz="4" w:space="0" w:color="auto"/>
              <w:right w:val="single" w:sz="4" w:space="0" w:color="auto"/>
            </w:tcBorders>
            <w:shd w:val="clear" w:color="auto" w:fill="auto"/>
            <w:noWrap/>
            <w:vAlign w:val="center"/>
          </w:tcPr>
          <w:p w14:paraId="0D5972E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&gt;=70%</w:t>
            </w:r>
          </w:p>
        </w:tc>
        <w:tc>
          <w:tcPr>
            <w:tcW w:w="2126" w:type="dxa"/>
            <w:tcBorders>
              <w:top w:val="nil"/>
              <w:left w:val="nil"/>
              <w:bottom w:val="single" w:sz="4" w:space="0" w:color="auto"/>
              <w:right w:val="single" w:sz="4" w:space="0" w:color="auto"/>
            </w:tcBorders>
            <w:shd w:val="clear" w:color="auto" w:fill="auto"/>
            <w:noWrap/>
            <w:vAlign w:val="center"/>
          </w:tcPr>
          <w:p w14:paraId="3B98A2D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2023年重大动物疫病防控暨春、秋季动物集中免疫</w:t>
            </w:r>
          </w:p>
        </w:tc>
        <w:tc>
          <w:tcPr>
            <w:tcW w:w="1004" w:type="dxa"/>
            <w:tcBorders>
              <w:top w:val="nil"/>
              <w:left w:val="nil"/>
              <w:bottom w:val="single" w:sz="4" w:space="0" w:color="auto"/>
              <w:right w:val="single" w:sz="4" w:space="0" w:color="auto"/>
            </w:tcBorders>
            <w:shd w:val="clear" w:color="auto" w:fill="auto"/>
            <w:noWrap/>
            <w:vAlign w:val="center"/>
          </w:tcPr>
          <w:p w14:paraId="69ACC78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70%</w:t>
            </w:r>
          </w:p>
        </w:tc>
        <w:tc>
          <w:tcPr>
            <w:tcW w:w="839" w:type="dxa"/>
            <w:tcBorders>
              <w:top w:val="nil"/>
              <w:left w:val="nil"/>
              <w:bottom w:val="single" w:sz="4" w:space="0" w:color="auto"/>
              <w:right w:val="single" w:sz="4" w:space="0" w:color="auto"/>
            </w:tcBorders>
            <w:shd w:val="clear" w:color="auto" w:fill="auto"/>
            <w:noWrap/>
            <w:vAlign w:val="center"/>
          </w:tcPr>
          <w:p w14:paraId="24709989"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720" w:type="dxa"/>
            <w:tcBorders>
              <w:top w:val="nil"/>
              <w:left w:val="nil"/>
              <w:bottom w:val="single" w:sz="4" w:space="0" w:color="auto"/>
              <w:right w:val="single" w:sz="4" w:space="0" w:color="auto"/>
            </w:tcBorders>
            <w:shd w:val="clear" w:color="auto" w:fill="auto"/>
            <w:noWrap/>
            <w:vAlign w:val="center"/>
          </w:tcPr>
          <w:p w14:paraId="0EBED56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84" w:type="dxa"/>
            <w:tcBorders>
              <w:top w:val="nil"/>
              <w:left w:val="nil"/>
              <w:bottom w:val="nil"/>
              <w:right w:val="nil"/>
            </w:tcBorders>
            <w:shd w:val="clear" w:color="auto" w:fill="auto"/>
            <w:noWrap/>
            <w:vAlign w:val="center"/>
          </w:tcPr>
          <w:p w14:paraId="4A0E29A3" w14:textId="77777777" w:rsidR="00400580" w:rsidRDefault="00400580">
            <w:pPr>
              <w:widowControl/>
              <w:jc w:val="center"/>
              <w:rPr>
                <w:rFonts w:ascii="宋体" w:hAnsi="宋体" w:cs="宋体" w:hint="eastAsia"/>
                <w:kern w:val="0"/>
                <w:sz w:val="18"/>
                <w:szCs w:val="18"/>
              </w:rPr>
            </w:pPr>
          </w:p>
        </w:tc>
      </w:tr>
      <w:tr w:rsidR="00400580" w14:paraId="39B042A2"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E1722D3" w14:textId="77777777" w:rsidR="00400580" w:rsidRDefault="0040058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89FB798" w14:textId="77777777" w:rsidR="00400580" w:rsidRDefault="0040058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2530BE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非洲猪瘟、高致病性食流感排查</w:t>
            </w:r>
          </w:p>
        </w:tc>
        <w:tc>
          <w:tcPr>
            <w:tcW w:w="1134" w:type="dxa"/>
            <w:tcBorders>
              <w:top w:val="nil"/>
              <w:left w:val="nil"/>
              <w:bottom w:val="single" w:sz="4" w:space="0" w:color="auto"/>
              <w:right w:val="single" w:sz="4" w:space="0" w:color="auto"/>
            </w:tcBorders>
            <w:shd w:val="clear" w:color="auto" w:fill="auto"/>
            <w:noWrap/>
            <w:vAlign w:val="center"/>
          </w:tcPr>
          <w:p w14:paraId="36FB590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&gt;=100%</w:t>
            </w:r>
          </w:p>
        </w:tc>
        <w:tc>
          <w:tcPr>
            <w:tcW w:w="2126" w:type="dxa"/>
            <w:tcBorders>
              <w:top w:val="nil"/>
              <w:left w:val="nil"/>
              <w:bottom w:val="single" w:sz="4" w:space="0" w:color="auto"/>
              <w:right w:val="single" w:sz="4" w:space="0" w:color="auto"/>
            </w:tcBorders>
            <w:shd w:val="clear" w:color="auto" w:fill="auto"/>
            <w:noWrap/>
            <w:vAlign w:val="center"/>
          </w:tcPr>
          <w:p w14:paraId="63944F4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米东区2023年重大动物疫病防控暨春、秋季动物集中免疫</w:t>
            </w:r>
          </w:p>
        </w:tc>
        <w:tc>
          <w:tcPr>
            <w:tcW w:w="1004" w:type="dxa"/>
            <w:tcBorders>
              <w:top w:val="nil"/>
              <w:left w:val="nil"/>
              <w:bottom w:val="single" w:sz="4" w:space="0" w:color="auto"/>
              <w:right w:val="single" w:sz="4" w:space="0" w:color="auto"/>
            </w:tcBorders>
            <w:shd w:val="clear" w:color="auto" w:fill="auto"/>
            <w:noWrap/>
            <w:vAlign w:val="center"/>
          </w:tcPr>
          <w:p w14:paraId="4BB1D41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839" w:type="dxa"/>
            <w:tcBorders>
              <w:top w:val="nil"/>
              <w:left w:val="nil"/>
              <w:bottom w:val="single" w:sz="4" w:space="0" w:color="auto"/>
              <w:right w:val="single" w:sz="4" w:space="0" w:color="auto"/>
            </w:tcBorders>
            <w:shd w:val="clear" w:color="auto" w:fill="auto"/>
            <w:noWrap/>
            <w:vAlign w:val="center"/>
          </w:tcPr>
          <w:p w14:paraId="0022883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720" w:type="dxa"/>
            <w:tcBorders>
              <w:top w:val="nil"/>
              <w:left w:val="nil"/>
              <w:bottom w:val="single" w:sz="4" w:space="0" w:color="auto"/>
              <w:right w:val="single" w:sz="4" w:space="0" w:color="auto"/>
            </w:tcBorders>
            <w:shd w:val="clear" w:color="auto" w:fill="auto"/>
            <w:noWrap/>
            <w:vAlign w:val="center"/>
          </w:tcPr>
          <w:p w14:paraId="47D17F1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84" w:type="dxa"/>
            <w:tcBorders>
              <w:top w:val="nil"/>
              <w:left w:val="nil"/>
              <w:bottom w:val="nil"/>
              <w:right w:val="nil"/>
            </w:tcBorders>
            <w:shd w:val="clear" w:color="auto" w:fill="auto"/>
            <w:noWrap/>
            <w:vAlign w:val="center"/>
          </w:tcPr>
          <w:p w14:paraId="4B05D459" w14:textId="77777777" w:rsidR="00400580" w:rsidRDefault="00400580">
            <w:pPr>
              <w:widowControl/>
              <w:jc w:val="center"/>
              <w:rPr>
                <w:rFonts w:ascii="宋体" w:hAnsi="宋体" w:cs="宋体" w:hint="eastAsia"/>
                <w:kern w:val="0"/>
                <w:sz w:val="18"/>
                <w:szCs w:val="18"/>
              </w:rPr>
            </w:pPr>
          </w:p>
        </w:tc>
      </w:tr>
      <w:tr w:rsidR="00400580" w14:paraId="318AF8F6"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9F914B2" w14:textId="77777777" w:rsidR="00400580" w:rsidRDefault="0040058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39BD452" w14:textId="77777777" w:rsidR="00400580" w:rsidRDefault="0040058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C2D179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猪瘟、新城疫、狂犬病等免疫密度</w:t>
            </w:r>
          </w:p>
        </w:tc>
        <w:tc>
          <w:tcPr>
            <w:tcW w:w="1134" w:type="dxa"/>
            <w:tcBorders>
              <w:top w:val="nil"/>
              <w:left w:val="nil"/>
              <w:bottom w:val="single" w:sz="4" w:space="0" w:color="auto"/>
              <w:right w:val="single" w:sz="4" w:space="0" w:color="auto"/>
            </w:tcBorders>
            <w:shd w:val="clear" w:color="auto" w:fill="auto"/>
            <w:noWrap/>
            <w:vAlign w:val="center"/>
          </w:tcPr>
          <w:p w14:paraId="58EEF8D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2126" w:type="dxa"/>
            <w:tcBorders>
              <w:top w:val="nil"/>
              <w:left w:val="nil"/>
              <w:bottom w:val="single" w:sz="4" w:space="0" w:color="auto"/>
              <w:right w:val="single" w:sz="4" w:space="0" w:color="auto"/>
            </w:tcBorders>
            <w:shd w:val="clear" w:color="auto" w:fill="auto"/>
            <w:noWrap/>
            <w:vAlign w:val="center"/>
          </w:tcPr>
          <w:p w14:paraId="62CD02A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米东区2023年重大动物疫病防控暨春、秋季动物集中免疫</w:t>
            </w:r>
          </w:p>
        </w:tc>
        <w:tc>
          <w:tcPr>
            <w:tcW w:w="1004" w:type="dxa"/>
            <w:tcBorders>
              <w:top w:val="nil"/>
              <w:left w:val="nil"/>
              <w:bottom w:val="single" w:sz="4" w:space="0" w:color="auto"/>
              <w:right w:val="single" w:sz="4" w:space="0" w:color="auto"/>
            </w:tcBorders>
            <w:shd w:val="clear" w:color="auto" w:fill="auto"/>
            <w:noWrap/>
            <w:vAlign w:val="center"/>
          </w:tcPr>
          <w:p w14:paraId="6DECBE5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839" w:type="dxa"/>
            <w:tcBorders>
              <w:top w:val="nil"/>
              <w:left w:val="nil"/>
              <w:bottom w:val="single" w:sz="4" w:space="0" w:color="auto"/>
              <w:right w:val="single" w:sz="4" w:space="0" w:color="auto"/>
            </w:tcBorders>
            <w:shd w:val="clear" w:color="auto" w:fill="auto"/>
            <w:noWrap/>
            <w:vAlign w:val="center"/>
          </w:tcPr>
          <w:p w14:paraId="2E4F672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720" w:type="dxa"/>
            <w:tcBorders>
              <w:top w:val="nil"/>
              <w:left w:val="nil"/>
              <w:bottom w:val="single" w:sz="4" w:space="0" w:color="auto"/>
              <w:right w:val="single" w:sz="4" w:space="0" w:color="auto"/>
            </w:tcBorders>
            <w:shd w:val="clear" w:color="auto" w:fill="auto"/>
            <w:noWrap/>
            <w:vAlign w:val="center"/>
          </w:tcPr>
          <w:p w14:paraId="3735F32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84" w:type="dxa"/>
            <w:tcBorders>
              <w:top w:val="nil"/>
              <w:left w:val="nil"/>
              <w:bottom w:val="nil"/>
              <w:right w:val="nil"/>
            </w:tcBorders>
            <w:shd w:val="clear" w:color="auto" w:fill="auto"/>
            <w:noWrap/>
            <w:vAlign w:val="center"/>
          </w:tcPr>
          <w:p w14:paraId="2BBDF5C9" w14:textId="77777777" w:rsidR="00400580" w:rsidRDefault="00400580">
            <w:pPr>
              <w:widowControl/>
              <w:jc w:val="center"/>
              <w:rPr>
                <w:rFonts w:ascii="宋体" w:hAnsi="宋体" w:cs="宋体" w:hint="eastAsia"/>
                <w:kern w:val="0"/>
                <w:sz w:val="18"/>
                <w:szCs w:val="18"/>
              </w:rPr>
            </w:pPr>
          </w:p>
        </w:tc>
      </w:tr>
      <w:tr w:rsidR="00400580" w14:paraId="153FB2E1"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B7DC025" w14:textId="77777777" w:rsidR="00400580"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总分</w:t>
            </w:r>
          </w:p>
        </w:tc>
        <w:tc>
          <w:tcPr>
            <w:tcW w:w="839" w:type="dxa"/>
            <w:tcBorders>
              <w:top w:val="nil"/>
              <w:left w:val="nil"/>
              <w:bottom w:val="single" w:sz="4" w:space="0" w:color="auto"/>
              <w:right w:val="single" w:sz="4" w:space="0" w:color="auto"/>
            </w:tcBorders>
            <w:shd w:val="clear" w:color="auto" w:fill="auto"/>
            <w:noWrap/>
            <w:vAlign w:val="center"/>
          </w:tcPr>
          <w:p w14:paraId="62412FEB" w14:textId="77777777" w:rsidR="00400580"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100</w:t>
            </w:r>
          </w:p>
        </w:tc>
        <w:tc>
          <w:tcPr>
            <w:tcW w:w="720" w:type="dxa"/>
            <w:tcBorders>
              <w:top w:val="nil"/>
              <w:left w:val="nil"/>
              <w:bottom w:val="single" w:sz="4" w:space="0" w:color="auto"/>
              <w:right w:val="single" w:sz="4" w:space="0" w:color="auto"/>
            </w:tcBorders>
            <w:shd w:val="clear" w:color="auto" w:fill="auto"/>
            <w:noWrap/>
            <w:vAlign w:val="center"/>
          </w:tcPr>
          <w:p w14:paraId="79D83A76" w14:textId="77777777" w:rsidR="00400580"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98.97</w:t>
            </w:r>
            <w:r>
              <w:rPr>
                <w:rFonts w:ascii="宋体" w:eastAsia="等线" w:hAnsi="宋体"/>
                <w:sz w:val="18"/>
                <w:szCs w:val="22"/>
                <w14:ligatures w14:val="standardContextual"/>
              </w:rPr>
              <w:t>分</w:t>
            </w:r>
          </w:p>
        </w:tc>
        <w:tc>
          <w:tcPr>
            <w:tcW w:w="284" w:type="dxa"/>
            <w:tcBorders>
              <w:top w:val="nil"/>
              <w:left w:val="nil"/>
              <w:bottom w:val="nil"/>
              <w:right w:val="nil"/>
            </w:tcBorders>
            <w:shd w:val="clear" w:color="auto" w:fill="auto"/>
            <w:noWrap/>
            <w:vAlign w:val="center"/>
          </w:tcPr>
          <w:p w14:paraId="7747B6E0" w14:textId="77777777" w:rsidR="00400580" w:rsidRDefault="00400580">
            <w:pPr>
              <w:widowControl/>
              <w:jc w:val="left"/>
              <w:rPr>
                <w:rFonts w:ascii="宋体" w:hAnsi="宋体" w:cs="宋体" w:hint="eastAsia"/>
                <w:kern w:val="0"/>
                <w:sz w:val="18"/>
                <w:szCs w:val="18"/>
              </w:rPr>
            </w:pPr>
          </w:p>
        </w:tc>
      </w:tr>
    </w:tbl>
    <w:p w14:paraId="5A16563E" w14:textId="77777777" w:rsidR="00B32136" w:rsidRDefault="00B32136" w:rsidP="00B32136">
      <w:pPr>
        <w:jc w:val="center"/>
        <w:rPr>
          <w:rFonts w:ascii="宋体" w:hAnsi="宋体" w:cs="宋体"/>
          <w:b/>
          <w:bCs/>
          <w:kern w:val="0"/>
          <w:sz w:val="18"/>
          <w:szCs w:val="18"/>
        </w:rPr>
      </w:pPr>
    </w:p>
    <w:p w14:paraId="47BE0CD2" w14:textId="24F8064C" w:rsidR="00400580" w:rsidRDefault="00000000" w:rsidP="00B32136">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0FEBF23" w14:textId="77777777" w:rsidR="0040058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00580" w14:paraId="310E884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F77C4E"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C6886F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2019年非洲猪瘟疫情防控工作经费</w:t>
            </w:r>
          </w:p>
        </w:tc>
      </w:tr>
      <w:tr w:rsidR="00400580" w14:paraId="73FAE35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8EB767"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1F1EB952"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乌鲁木齐市米东区农业农村局</w:t>
            </w:r>
          </w:p>
        </w:tc>
        <w:tc>
          <w:tcPr>
            <w:tcW w:w="1177" w:type="dxa"/>
            <w:tcBorders>
              <w:top w:val="nil"/>
              <w:left w:val="nil"/>
              <w:bottom w:val="single" w:sz="4" w:space="0" w:color="auto"/>
              <w:right w:val="single" w:sz="4" w:space="0" w:color="auto"/>
            </w:tcBorders>
            <w:shd w:val="clear" w:color="auto" w:fill="auto"/>
            <w:vAlign w:val="center"/>
          </w:tcPr>
          <w:p w14:paraId="78B83C87"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4EF6FAA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米东区畜牧局机关</w:t>
            </w:r>
          </w:p>
        </w:tc>
      </w:tr>
      <w:tr w:rsidR="00400580" w14:paraId="0D9B8E20"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F12293"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FC85FCF" w14:textId="77777777" w:rsidR="00400580" w:rsidRDefault="0040058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5104C2A"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2D469112"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073820A8"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F497A97"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0F0B71E"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DADBF94"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00580" w14:paraId="5EA334B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3A810C2" w14:textId="77777777" w:rsidR="00400580" w:rsidRDefault="004005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1979F9F"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0D352A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97.53</w:t>
            </w:r>
          </w:p>
        </w:tc>
        <w:tc>
          <w:tcPr>
            <w:tcW w:w="1177" w:type="dxa"/>
            <w:tcBorders>
              <w:top w:val="nil"/>
              <w:left w:val="nil"/>
              <w:bottom w:val="single" w:sz="4" w:space="0" w:color="auto"/>
              <w:right w:val="single" w:sz="4" w:space="0" w:color="auto"/>
            </w:tcBorders>
            <w:shd w:val="clear" w:color="auto" w:fill="auto"/>
            <w:noWrap/>
            <w:vAlign w:val="center"/>
          </w:tcPr>
          <w:p w14:paraId="3615C959"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97.53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CDA3F0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54.30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BB0A9B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36A9CF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55.68%</w:t>
            </w:r>
          </w:p>
        </w:tc>
        <w:tc>
          <w:tcPr>
            <w:tcW w:w="1275" w:type="dxa"/>
            <w:tcBorders>
              <w:top w:val="nil"/>
              <w:left w:val="nil"/>
              <w:bottom w:val="single" w:sz="4" w:space="0" w:color="auto"/>
              <w:right w:val="single" w:sz="4" w:space="0" w:color="auto"/>
            </w:tcBorders>
            <w:shd w:val="clear" w:color="auto" w:fill="auto"/>
            <w:vAlign w:val="center"/>
          </w:tcPr>
          <w:p w14:paraId="4C150D1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5.57分</w:t>
            </w:r>
          </w:p>
        </w:tc>
      </w:tr>
      <w:tr w:rsidR="00400580" w14:paraId="59587B7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62B489F" w14:textId="77777777" w:rsidR="00400580" w:rsidRDefault="004005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58DCF4F"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56D17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97.53</w:t>
            </w:r>
          </w:p>
        </w:tc>
        <w:tc>
          <w:tcPr>
            <w:tcW w:w="1177" w:type="dxa"/>
            <w:tcBorders>
              <w:top w:val="nil"/>
              <w:left w:val="nil"/>
              <w:bottom w:val="single" w:sz="4" w:space="0" w:color="auto"/>
              <w:right w:val="single" w:sz="4" w:space="0" w:color="auto"/>
            </w:tcBorders>
            <w:shd w:val="clear" w:color="auto" w:fill="auto"/>
            <w:noWrap/>
            <w:vAlign w:val="center"/>
          </w:tcPr>
          <w:p w14:paraId="49AF35F9"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97.53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1B66693" w14:textId="31E5CA02" w:rsidR="00400580" w:rsidRDefault="002A1E51">
            <w:pPr>
              <w:jc w:val="center"/>
              <w:rPr>
                <w:rFonts w:ascii="等线" w:eastAsia="等线" w:hAnsi="等线" w:hint="eastAsia"/>
                <w:szCs w:val="22"/>
                <w14:ligatures w14:val="standardContextual"/>
              </w:rPr>
            </w:pPr>
            <w:r w:rsidRPr="002A1E51">
              <w:rPr>
                <w:rFonts w:ascii="宋体" w:hAnsi="宋体"/>
                <w:sz w:val="18"/>
                <w:szCs w:val="22"/>
                <w14:ligatures w14:val="standardContextual"/>
              </w:rPr>
              <w:t>54.30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D89FC6E"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1A5D870"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26CF74F"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00580" w14:paraId="615E597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286A342" w14:textId="77777777" w:rsidR="00400580" w:rsidRDefault="004005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231F8EF"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227E07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4EDBD20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21566B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A120A83"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12A3ED9"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CB9DCF4"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00580" w14:paraId="3128ECBF"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B9B792E"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1684CE14"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FE28C2F"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00580" w14:paraId="50041A9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A0F3707" w14:textId="77777777" w:rsidR="00400580" w:rsidRDefault="0040058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04BEC0A4" w14:textId="77777777" w:rsidR="0040058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有效保障辖区内的疫病检测</w:t>
            </w:r>
          </w:p>
        </w:tc>
        <w:tc>
          <w:tcPr>
            <w:tcW w:w="4625" w:type="dxa"/>
            <w:gridSpan w:val="7"/>
            <w:tcBorders>
              <w:top w:val="single" w:sz="4" w:space="0" w:color="auto"/>
              <w:left w:val="nil"/>
              <w:bottom w:val="single" w:sz="4" w:space="0" w:color="auto"/>
              <w:right w:val="single" w:sz="4" w:space="0" w:color="000000"/>
            </w:tcBorders>
            <w:shd w:val="clear" w:color="auto" w:fill="auto"/>
          </w:tcPr>
          <w:p w14:paraId="24F116CA" w14:textId="77777777" w:rsidR="0040058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该项目通过购入防疫检测仪器，有效保障辖区内的疫病检测</w:t>
            </w:r>
          </w:p>
        </w:tc>
      </w:tr>
      <w:tr w:rsidR="00400580" w14:paraId="52E33713"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87D49E8" w14:textId="77777777" w:rsidR="00400580" w:rsidRDefault="0040058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9891975"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BA25E9D"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14A751"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663B90C"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ABEED69"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A685C6"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66D258"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A07CDF"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00580" w14:paraId="1DB71578"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1C4B95A"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307AFA7" w14:textId="77777777" w:rsidR="00400580" w:rsidRDefault="0040058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8EA5A2E" w14:textId="77777777" w:rsidR="00400580" w:rsidRDefault="0040058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1927F9C" w14:textId="77777777" w:rsidR="00400580" w:rsidRDefault="0040058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C3668E6" w14:textId="77777777" w:rsidR="00400580" w:rsidRDefault="0040058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E63289B" w14:textId="77777777" w:rsidR="00400580" w:rsidRDefault="0040058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D198F42" w14:textId="77777777" w:rsidR="00400580" w:rsidRDefault="0040058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899C5B8" w14:textId="77777777" w:rsidR="00400580" w:rsidRDefault="0040058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E430F83" w14:textId="77777777" w:rsidR="00400580" w:rsidRDefault="00400580">
            <w:pPr>
              <w:widowControl/>
              <w:jc w:val="left"/>
              <w:rPr>
                <w:rFonts w:ascii="宋体" w:hAnsi="宋体" w:cs="宋体" w:hint="eastAsia"/>
                <w:color w:val="000000"/>
                <w:kern w:val="0"/>
                <w:sz w:val="18"/>
                <w:szCs w:val="18"/>
              </w:rPr>
            </w:pPr>
          </w:p>
        </w:tc>
      </w:tr>
      <w:tr w:rsidR="00400580" w14:paraId="2BCDA428"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3BF6042"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FDC784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7FF0D6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B187C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强制免疫病种应免畜禽的免疫密度</w:t>
            </w:r>
          </w:p>
        </w:tc>
        <w:tc>
          <w:tcPr>
            <w:tcW w:w="1177" w:type="dxa"/>
            <w:tcBorders>
              <w:top w:val="nil"/>
              <w:left w:val="nil"/>
              <w:bottom w:val="single" w:sz="4" w:space="0" w:color="auto"/>
              <w:right w:val="single" w:sz="4" w:space="0" w:color="auto"/>
            </w:tcBorders>
            <w:shd w:val="clear" w:color="auto" w:fill="auto"/>
            <w:vAlign w:val="center"/>
          </w:tcPr>
          <w:p w14:paraId="0BB1A31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38CAC17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6C9B5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91344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8F3413" w14:textId="77777777" w:rsidR="00400580" w:rsidRDefault="00400580">
            <w:pPr>
              <w:jc w:val="center"/>
              <w:rPr>
                <w:rFonts w:ascii="等线" w:eastAsia="等线" w:hAnsi="等线" w:hint="eastAsia"/>
                <w:szCs w:val="22"/>
                <w14:ligatures w14:val="standardContextual"/>
              </w:rPr>
            </w:pPr>
          </w:p>
        </w:tc>
      </w:tr>
      <w:tr w:rsidR="00400580" w14:paraId="35C3B4D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B1F518D"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B88387B" w14:textId="77777777" w:rsidR="00400580" w:rsidRDefault="004005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3EBB19B" w14:textId="77777777" w:rsidR="00400580" w:rsidRDefault="004005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0968D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购入非瘟检测仪器</w:t>
            </w:r>
          </w:p>
        </w:tc>
        <w:tc>
          <w:tcPr>
            <w:tcW w:w="1177" w:type="dxa"/>
            <w:tcBorders>
              <w:top w:val="nil"/>
              <w:left w:val="nil"/>
              <w:bottom w:val="single" w:sz="4" w:space="0" w:color="auto"/>
              <w:right w:val="single" w:sz="4" w:space="0" w:color="auto"/>
            </w:tcBorders>
            <w:shd w:val="clear" w:color="auto" w:fill="auto"/>
            <w:vAlign w:val="center"/>
          </w:tcPr>
          <w:p w14:paraId="3808D32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&gt;=15个</w:t>
            </w:r>
          </w:p>
        </w:tc>
        <w:tc>
          <w:tcPr>
            <w:tcW w:w="1177" w:type="dxa"/>
            <w:tcBorders>
              <w:top w:val="nil"/>
              <w:left w:val="nil"/>
              <w:bottom w:val="single" w:sz="4" w:space="0" w:color="auto"/>
              <w:right w:val="single" w:sz="4" w:space="0" w:color="auto"/>
            </w:tcBorders>
            <w:shd w:val="clear" w:color="auto" w:fill="auto"/>
            <w:vAlign w:val="center"/>
          </w:tcPr>
          <w:p w14:paraId="45997C73"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48163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898FB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5BB88D" w14:textId="77777777" w:rsidR="00400580" w:rsidRDefault="00400580">
            <w:pPr>
              <w:jc w:val="center"/>
              <w:rPr>
                <w:rFonts w:ascii="等线" w:eastAsia="等线" w:hAnsi="等线" w:hint="eastAsia"/>
                <w:szCs w:val="22"/>
                <w14:ligatures w14:val="standardContextual"/>
              </w:rPr>
            </w:pPr>
          </w:p>
        </w:tc>
      </w:tr>
      <w:tr w:rsidR="00400580" w14:paraId="5D908F6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FFE729B"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7F6280" w14:textId="77777777" w:rsidR="00400580" w:rsidRDefault="00400580">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64F29932"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EC050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依法对重大动物疫情处置率</w:t>
            </w:r>
          </w:p>
        </w:tc>
        <w:tc>
          <w:tcPr>
            <w:tcW w:w="1177" w:type="dxa"/>
            <w:tcBorders>
              <w:top w:val="nil"/>
              <w:left w:val="nil"/>
              <w:bottom w:val="single" w:sz="4" w:space="0" w:color="auto"/>
              <w:right w:val="single" w:sz="4" w:space="0" w:color="auto"/>
            </w:tcBorders>
            <w:shd w:val="clear" w:color="auto" w:fill="auto"/>
            <w:vAlign w:val="center"/>
          </w:tcPr>
          <w:p w14:paraId="7E8AC78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2D15269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7535D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A000B3"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47D3AF" w14:textId="77777777" w:rsidR="00400580" w:rsidRDefault="00400580">
            <w:pPr>
              <w:jc w:val="center"/>
              <w:rPr>
                <w:rFonts w:ascii="等线" w:eastAsia="等线" w:hAnsi="等线" w:hint="eastAsia"/>
                <w:szCs w:val="22"/>
                <w14:ligatures w14:val="standardContextual"/>
              </w:rPr>
            </w:pPr>
          </w:p>
        </w:tc>
      </w:tr>
      <w:tr w:rsidR="00400580" w14:paraId="76271B4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DA506B"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B4BBEDD" w14:textId="77777777" w:rsidR="00400580" w:rsidRDefault="004005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3E5DB48" w14:textId="77777777" w:rsidR="00400580" w:rsidRDefault="004005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1A3F6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0E005CE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3EF963C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76DE22"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34815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52A8EB" w14:textId="77777777" w:rsidR="00400580" w:rsidRDefault="00400580">
            <w:pPr>
              <w:jc w:val="center"/>
              <w:rPr>
                <w:rFonts w:ascii="等线" w:eastAsia="等线" w:hAnsi="等线" w:hint="eastAsia"/>
                <w:szCs w:val="22"/>
                <w14:ligatures w14:val="standardContextual"/>
              </w:rPr>
            </w:pPr>
          </w:p>
        </w:tc>
      </w:tr>
      <w:tr w:rsidR="00400580" w14:paraId="7C026BC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54F7AAB"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21CB5C" w14:textId="77777777" w:rsidR="00400580" w:rsidRDefault="0040058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836F12"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48FFE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资金拨付及时率</w:t>
            </w:r>
          </w:p>
        </w:tc>
        <w:tc>
          <w:tcPr>
            <w:tcW w:w="1177" w:type="dxa"/>
            <w:tcBorders>
              <w:top w:val="nil"/>
              <w:left w:val="nil"/>
              <w:bottom w:val="single" w:sz="4" w:space="0" w:color="auto"/>
              <w:right w:val="single" w:sz="4" w:space="0" w:color="auto"/>
            </w:tcBorders>
            <w:shd w:val="clear" w:color="auto" w:fill="auto"/>
            <w:vAlign w:val="center"/>
          </w:tcPr>
          <w:p w14:paraId="408DE5C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1177" w:type="dxa"/>
            <w:tcBorders>
              <w:top w:val="nil"/>
              <w:left w:val="nil"/>
              <w:bottom w:val="single" w:sz="4" w:space="0" w:color="auto"/>
              <w:right w:val="single" w:sz="4" w:space="0" w:color="auto"/>
            </w:tcBorders>
            <w:shd w:val="clear" w:color="auto" w:fill="auto"/>
            <w:vAlign w:val="center"/>
          </w:tcPr>
          <w:p w14:paraId="1EB5119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370587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FFD209"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296B34" w14:textId="77777777" w:rsidR="00400580" w:rsidRDefault="00400580">
            <w:pPr>
              <w:jc w:val="center"/>
              <w:rPr>
                <w:rFonts w:ascii="等线" w:eastAsia="等线" w:hAnsi="等线" w:hint="eastAsia"/>
                <w:szCs w:val="22"/>
                <w14:ligatures w14:val="standardContextual"/>
              </w:rPr>
            </w:pPr>
          </w:p>
        </w:tc>
      </w:tr>
      <w:tr w:rsidR="00400580" w14:paraId="67F509F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3EC97FE" w14:textId="77777777" w:rsidR="00400580" w:rsidRDefault="0040058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68FACD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70E6651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C1B51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保障养殖环节病死猪无害化处理</w:t>
            </w:r>
          </w:p>
        </w:tc>
        <w:tc>
          <w:tcPr>
            <w:tcW w:w="1177" w:type="dxa"/>
            <w:tcBorders>
              <w:top w:val="nil"/>
              <w:left w:val="nil"/>
              <w:bottom w:val="single" w:sz="4" w:space="0" w:color="auto"/>
              <w:right w:val="single" w:sz="4" w:space="0" w:color="auto"/>
            </w:tcBorders>
            <w:shd w:val="clear" w:color="auto" w:fill="auto"/>
            <w:vAlign w:val="center"/>
          </w:tcPr>
          <w:p w14:paraId="0F4C3B8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sz="4" w:space="0" w:color="auto"/>
              <w:right w:val="single" w:sz="4" w:space="0" w:color="auto"/>
            </w:tcBorders>
            <w:shd w:val="clear" w:color="auto" w:fill="auto"/>
            <w:vAlign w:val="center"/>
          </w:tcPr>
          <w:p w14:paraId="7A9532B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C6790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1EF65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DC27F1" w14:textId="77777777" w:rsidR="00400580" w:rsidRDefault="00400580">
            <w:pPr>
              <w:jc w:val="center"/>
              <w:rPr>
                <w:rFonts w:ascii="等线" w:eastAsia="等线" w:hAnsi="等线" w:hint="eastAsia"/>
                <w:szCs w:val="22"/>
                <w14:ligatures w14:val="standardContextual"/>
              </w:rPr>
            </w:pPr>
          </w:p>
        </w:tc>
      </w:tr>
      <w:tr w:rsidR="00400580" w14:paraId="5FECA1E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8C1DA9"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5AC526" w14:textId="77777777" w:rsidR="00400580" w:rsidRDefault="004005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549F3BB" w14:textId="77777777" w:rsidR="00400580" w:rsidRDefault="004005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183E3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保障人民食用畜产品安全</w:t>
            </w:r>
          </w:p>
        </w:tc>
        <w:tc>
          <w:tcPr>
            <w:tcW w:w="1177" w:type="dxa"/>
            <w:tcBorders>
              <w:top w:val="nil"/>
              <w:left w:val="nil"/>
              <w:bottom w:val="single" w:sz="4" w:space="0" w:color="auto"/>
              <w:right w:val="single" w:sz="4" w:space="0" w:color="auto"/>
            </w:tcBorders>
            <w:shd w:val="clear" w:color="auto" w:fill="auto"/>
            <w:vAlign w:val="center"/>
          </w:tcPr>
          <w:p w14:paraId="6A18031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sz="4" w:space="0" w:color="auto"/>
              <w:right w:val="single" w:sz="4" w:space="0" w:color="auto"/>
            </w:tcBorders>
            <w:shd w:val="clear" w:color="auto" w:fill="auto"/>
            <w:vAlign w:val="center"/>
          </w:tcPr>
          <w:p w14:paraId="363CA41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r>
              <w:rPr>
                <w:rFonts w:ascii="宋体" w:hAnsi="宋体"/>
                <w:sz w:val="18"/>
                <w:szCs w:val="22"/>
                <w14:ligatures w14:val="standardContextual"/>
              </w:rPr>
              <w:tab/>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70BCE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0CF2D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CD1007" w14:textId="77777777" w:rsidR="00400580" w:rsidRDefault="00400580">
            <w:pPr>
              <w:jc w:val="center"/>
              <w:rPr>
                <w:rFonts w:ascii="等线" w:eastAsia="等线" w:hAnsi="等线" w:hint="eastAsia"/>
                <w:szCs w:val="22"/>
                <w14:ligatures w14:val="standardContextual"/>
              </w:rPr>
            </w:pPr>
          </w:p>
        </w:tc>
      </w:tr>
      <w:tr w:rsidR="00400580" w14:paraId="24FF6C4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40CE29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D5D2DA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AADD42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95.57分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B0F6F8" w14:textId="77777777" w:rsidR="00400580" w:rsidRDefault="00400580">
            <w:pPr>
              <w:jc w:val="center"/>
              <w:rPr>
                <w:rFonts w:ascii="等线" w:eastAsia="等线" w:hAnsi="等线" w:hint="eastAsia"/>
                <w:szCs w:val="22"/>
                <w14:ligatures w14:val="standardContextual"/>
              </w:rPr>
            </w:pPr>
          </w:p>
        </w:tc>
      </w:tr>
    </w:tbl>
    <w:p w14:paraId="75E98DA5" w14:textId="77777777" w:rsidR="00400580"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28"/>
        </w:rPr>
        <w:lastRenderedPageBreak/>
        <w:t>项目支出绩效自评表</w:t>
      </w:r>
    </w:p>
    <w:p w14:paraId="1BEBF971" w14:textId="77777777" w:rsidR="0040058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492"/>
        <w:gridCol w:w="1559"/>
      </w:tblGrid>
      <w:tr w:rsidR="00400580" w14:paraId="5E8D9E3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CD1953"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551649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乌财行（2023）48号2023年度新疆人才发展基金第一批重大人才计划项目</w:t>
            </w:r>
          </w:p>
        </w:tc>
      </w:tr>
      <w:tr w:rsidR="00400580" w14:paraId="4D47446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FCAE1A"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6DB005C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乌鲁木齐米东区农业农村局</w:t>
            </w:r>
          </w:p>
        </w:tc>
        <w:tc>
          <w:tcPr>
            <w:tcW w:w="1177" w:type="dxa"/>
            <w:tcBorders>
              <w:top w:val="nil"/>
              <w:left w:val="nil"/>
              <w:bottom w:val="single" w:sz="4" w:space="0" w:color="auto"/>
              <w:right w:val="single" w:sz="4" w:space="0" w:color="auto"/>
            </w:tcBorders>
            <w:shd w:val="clear" w:color="auto" w:fill="auto"/>
            <w:vAlign w:val="center"/>
          </w:tcPr>
          <w:p w14:paraId="14DA26D1"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00FE81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米东区畜牧局机关</w:t>
            </w:r>
          </w:p>
        </w:tc>
      </w:tr>
      <w:tr w:rsidR="00400580" w14:paraId="624FBAC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17BD91"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3D04C94" w14:textId="77777777" w:rsidR="00400580" w:rsidRDefault="0040058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91688A2"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4084718A"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340487EF"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CDFBCA2"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842" w:type="dxa"/>
            <w:gridSpan w:val="2"/>
            <w:tcBorders>
              <w:top w:val="single" w:sz="4" w:space="0" w:color="auto"/>
              <w:left w:val="nil"/>
              <w:bottom w:val="single" w:sz="4" w:space="0" w:color="auto"/>
              <w:right w:val="single" w:sz="4" w:space="0" w:color="auto"/>
            </w:tcBorders>
            <w:shd w:val="clear" w:color="auto" w:fill="auto"/>
            <w:vAlign w:val="center"/>
          </w:tcPr>
          <w:p w14:paraId="1E546068"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559" w:type="dxa"/>
            <w:tcBorders>
              <w:top w:val="nil"/>
              <w:left w:val="nil"/>
              <w:bottom w:val="single" w:sz="4" w:space="0" w:color="auto"/>
              <w:right w:val="single" w:sz="4" w:space="0" w:color="auto"/>
            </w:tcBorders>
            <w:shd w:val="clear" w:color="auto" w:fill="auto"/>
            <w:vAlign w:val="center"/>
          </w:tcPr>
          <w:p w14:paraId="2603292F"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00580" w14:paraId="685BEDC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7BD41CE" w14:textId="77777777" w:rsidR="00400580" w:rsidRDefault="004005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29249B0"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121B43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w:t>
            </w:r>
          </w:p>
        </w:tc>
        <w:tc>
          <w:tcPr>
            <w:tcW w:w="1177" w:type="dxa"/>
            <w:tcBorders>
              <w:top w:val="nil"/>
              <w:left w:val="nil"/>
              <w:bottom w:val="single" w:sz="4" w:space="0" w:color="auto"/>
              <w:right w:val="single" w:sz="4" w:space="0" w:color="auto"/>
            </w:tcBorders>
            <w:shd w:val="clear" w:color="auto" w:fill="auto"/>
            <w:noWrap/>
            <w:vAlign w:val="center"/>
          </w:tcPr>
          <w:p w14:paraId="650B5C33"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FDCEF8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15.34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9DE40E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842" w:type="dxa"/>
            <w:gridSpan w:val="2"/>
            <w:tcBorders>
              <w:top w:val="single" w:sz="4" w:space="0" w:color="auto"/>
              <w:left w:val="nil"/>
              <w:bottom w:val="single" w:sz="4" w:space="0" w:color="auto"/>
              <w:right w:val="single" w:sz="4" w:space="0" w:color="auto"/>
            </w:tcBorders>
            <w:shd w:val="clear" w:color="auto" w:fill="auto"/>
            <w:vAlign w:val="center"/>
          </w:tcPr>
          <w:p w14:paraId="3E6C813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51.13%</w:t>
            </w:r>
          </w:p>
        </w:tc>
        <w:tc>
          <w:tcPr>
            <w:tcW w:w="1559" w:type="dxa"/>
            <w:tcBorders>
              <w:top w:val="nil"/>
              <w:left w:val="nil"/>
              <w:bottom w:val="single" w:sz="4" w:space="0" w:color="auto"/>
              <w:right w:val="single" w:sz="4" w:space="0" w:color="auto"/>
            </w:tcBorders>
            <w:shd w:val="clear" w:color="auto" w:fill="auto"/>
            <w:vAlign w:val="center"/>
          </w:tcPr>
          <w:p w14:paraId="63A5BD4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5.11分</w:t>
            </w:r>
          </w:p>
        </w:tc>
      </w:tr>
      <w:tr w:rsidR="00400580" w14:paraId="4627696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9BE4EC7" w14:textId="77777777" w:rsidR="00400580" w:rsidRDefault="004005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4E0ED75"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0247B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w:t>
            </w:r>
          </w:p>
        </w:tc>
        <w:tc>
          <w:tcPr>
            <w:tcW w:w="1177" w:type="dxa"/>
            <w:tcBorders>
              <w:top w:val="nil"/>
              <w:left w:val="nil"/>
              <w:bottom w:val="single" w:sz="4" w:space="0" w:color="auto"/>
              <w:right w:val="single" w:sz="4" w:space="0" w:color="auto"/>
            </w:tcBorders>
            <w:shd w:val="clear" w:color="auto" w:fill="auto"/>
            <w:noWrap/>
            <w:vAlign w:val="center"/>
          </w:tcPr>
          <w:p w14:paraId="268629B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3FC5E4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15.34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3BA889E"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42" w:type="dxa"/>
            <w:gridSpan w:val="2"/>
            <w:tcBorders>
              <w:top w:val="single" w:sz="4" w:space="0" w:color="auto"/>
              <w:left w:val="nil"/>
              <w:bottom w:val="single" w:sz="4" w:space="0" w:color="auto"/>
              <w:right w:val="single" w:sz="4" w:space="0" w:color="auto"/>
            </w:tcBorders>
            <w:shd w:val="clear" w:color="auto" w:fill="auto"/>
            <w:vAlign w:val="center"/>
          </w:tcPr>
          <w:p w14:paraId="2617C44E"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59" w:type="dxa"/>
            <w:tcBorders>
              <w:top w:val="nil"/>
              <w:left w:val="nil"/>
              <w:bottom w:val="single" w:sz="4" w:space="0" w:color="auto"/>
              <w:right w:val="single" w:sz="4" w:space="0" w:color="auto"/>
            </w:tcBorders>
            <w:shd w:val="clear" w:color="auto" w:fill="auto"/>
            <w:vAlign w:val="center"/>
          </w:tcPr>
          <w:p w14:paraId="78D2B2EF"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00580" w14:paraId="09635BA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1040B9B" w14:textId="77777777" w:rsidR="00400580" w:rsidRDefault="004005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33E1C10"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0C77B3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3FCF9C7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AB1674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2D2F80A"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42" w:type="dxa"/>
            <w:gridSpan w:val="2"/>
            <w:tcBorders>
              <w:top w:val="single" w:sz="4" w:space="0" w:color="auto"/>
              <w:left w:val="nil"/>
              <w:bottom w:val="single" w:sz="4" w:space="0" w:color="auto"/>
              <w:right w:val="single" w:sz="4" w:space="0" w:color="auto"/>
            </w:tcBorders>
            <w:shd w:val="clear" w:color="auto" w:fill="auto"/>
            <w:vAlign w:val="center"/>
          </w:tcPr>
          <w:p w14:paraId="12825FCB"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59" w:type="dxa"/>
            <w:tcBorders>
              <w:top w:val="nil"/>
              <w:left w:val="nil"/>
              <w:bottom w:val="single" w:sz="4" w:space="0" w:color="auto"/>
              <w:right w:val="single" w:sz="4" w:space="0" w:color="auto"/>
            </w:tcBorders>
            <w:shd w:val="clear" w:color="auto" w:fill="auto"/>
            <w:vAlign w:val="center"/>
          </w:tcPr>
          <w:p w14:paraId="2EA19F27"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00580" w14:paraId="5F7E489C"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3C10B1C"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5FD41666"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666C301A"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00580" w14:paraId="015BA305"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AB4697C" w14:textId="77777777" w:rsidR="00400580" w:rsidRDefault="0040058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463F613C" w14:textId="77777777" w:rsidR="0040058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通过项目的建设和畜牧业新技术的示范推广，降低动物病死率，提高乌鲁木齐市畜产品的市场竞争率。</w:t>
            </w:r>
          </w:p>
        </w:tc>
        <w:tc>
          <w:tcPr>
            <w:tcW w:w="4625" w:type="dxa"/>
            <w:gridSpan w:val="7"/>
            <w:tcBorders>
              <w:top w:val="single" w:sz="4" w:space="0" w:color="auto"/>
              <w:left w:val="nil"/>
              <w:bottom w:val="single" w:sz="4" w:space="0" w:color="auto"/>
              <w:right w:val="single" w:sz="4" w:space="0" w:color="000000"/>
            </w:tcBorders>
            <w:shd w:val="clear" w:color="auto" w:fill="auto"/>
          </w:tcPr>
          <w:p w14:paraId="08821491" w14:textId="77777777" w:rsidR="0040058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通过项目的建设和畜牧业新技术的示范推广，降低动物病死率，提高乌鲁木齐市畜产品的市场竞争率。</w:t>
            </w:r>
          </w:p>
        </w:tc>
      </w:tr>
      <w:tr w:rsidR="00400580" w14:paraId="39F296B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389ADF7" w14:textId="77777777" w:rsidR="00400580" w:rsidRDefault="0040058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3E3AA95"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013F0E8"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0DBD1C"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21CCA4A"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5896108"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5C5C55"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4ED5FB"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740BB8"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00580" w14:paraId="3D745AA8"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A8BE017"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3209963" w14:textId="77777777" w:rsidR="00400580" w:rsidRDefault="0040058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4A94C4C" w14:textId="77777777" w:rsidR="00400580" w:rsidRDefault="0040058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DE0D794" w14:textId="77777777" w:rsidR="00400580" w:rsidRDefault="0040058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5BB05B0" w14:textId="77777777" w:rsidR="00400580" w:rsidRDefault="0040058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2D5D7E6" w14:textId="77777777" w:rsidR="00400580" w:rsidRDefault="0040058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0C87DC8" w14:textId="77777777" w:rsidR="00400580" w:rsidRDefault="0040058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68E126E" w14:textId="77777777" w:rsidR="00400580" w:rsidRDefault="0040058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3660FAE" w14:textId="77777777" w:rsidR="00400580" w:rsidRDefault="00400580">
            <w:pPr>
              <w:widowControl/>
              <w:jc w:val="left"/>
              <w:rPr>
                <w:rFonts w:ascii="宋体" w:hAnsi="宋体" w:cs="宋体" w:hint="eastAsia"/>
                <w:color w:val="000000"/>
                <w:kern w:val="0"/>
                <w:sz w:val="18"/>
                <w:szCs w:val="18"/>
              </w:rPr>
            </w:pPr>
          </w:p>
        </w:tc>
      </w:tr>
      <w:tr w:rsidR="00400580" w14:paraId="49562CFA"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3C6ADB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802C7F3"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DBDB54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DF61B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布鲁氏杆菌病抗体检测数量</w:t>
            </w:r>
          </w:p>
        </w:tc>
        <w:tc>
          <w:tcPr>
            <w:tcW w:w="1177" w:type="dxa"/>
            <w:tcBorders>
              <w:top w:val="nil"/>
              <w:left w:val="nil"/>
              <w:bottom w:val="single" w:sz="4" w:space="0" w:color="auto"/>
              <w:right w:val="single" w:sz="4" w:space="0" w:color="auto"/>
            </w:tcBorders>
            <w:shd w:val="clear" w:color="auto" w:fill="auto"/>
            <w:vAlign w:val="center"/>
          </w:tcPr>
          <w:p w14:paraId="71B59BC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&gt;900头</w:t>
            </w:r>
          </w:p>
        </w:tc>
        <w:tc>
          <w:tcPr>
            <w:tcW w:w="1177" w:type="dxa"/>
            <w:tcBorders>
              <w:top w:val="nil"/>
              <w:left w:val="nil"/>
              <w:bottom w:val="single" w:sz="4" w:space="0" w:color="auto"/>
              <w:right w:val="single" w:sz="4" w:space="0" w:color="auto"/>
            </w:tcBorders>
            <w:shd w:val="clear" w:color="auto" w:fill="auto"/>
            <w:vAlign w:val="center"/>
          </w:tcPr>
          <w:p w14:paraId="5F25EE6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3667头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378603"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1CFB7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E76D3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养殖户数量增加</w:t>
            </w:r>
          </w:p>
        </w:tc>
      </w:tr>
      <w:tr w:rsidR="00400580" w14:paraId="309EA83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A0843AC"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18DC0C" w14:textId="77777777" w:rsidR="00400580" w:rsidRDefault="004005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6BEABE7" w14:textId="77777777" w:rsidR="00400580" w:rsidRDefault="004005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D573F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口蹄疫抗体检测数量</w:t>
            </w:r>
          </w:p>
        </w:tc>
        <w:tc>
          <w:tcPr>
            <w:tcW w:w="1177" w:type="dxa"/>
            <w:tcBorders>
              <w:top w:val="nil"/>
              <w:left w:val="nil"/>
              <w:bottom w:val="single" w:sz="4" w:space="0" w:color="auto"/>
              <w:right w:val="single" w:sz="4" w:space="0" w:color="auto"/>
            </w:tcBorders>
            <w:shd w:val="clear" w:color="auto" w:fill="auto"/>
            <w:vAlign w:val="center"/>
          </w:tcPr>
          <w:p w14:paraId="46CF9E2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&gt;=1500头</w:t>
            </w:r>
          </w:p>
        </w:tc>
        <w:tc>
          <w:tcPr>
            <w:tcW w:w="1177" w:type="dxa"/>
            <w:tcBorders>
              <w:top w:val="nil"/>
              <w:left w:val="nil"/>
              <w:bottom w:val="single" w:sz="4" w:space="0" w:color="auto"/>
              <w:right w:val="single" w:sz="4" w:space="0" w:color="auto"/>
            </w:tcBorders>
            <w:shd w:val="clear" w:color="auto" w:fill="auto"/>
            <w:vAlign w:val="center"/>
          </w:tcPr>
          <w:p w14:paraId="25F3381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7473头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BB1F0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A2E9A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EA5A7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养殖户数量增加</w:t>
            </w:r>
          </w:p>
        </w:tc>
      </w:tr>
      <w:tr w:rsidR="00400580" w14:paraId="3EBF09E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1A7CC93"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D5FFCA5" w14:textId="77777777" w:rsidR="00400580" w:rsidRDefault="004005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66C063B" w14:textId="77777777" w:rsidR="00400580" w:rsidRDefault="004005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37D96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小反刍兽疫抗体检测数量</w:t>
            </w:r>
          </w:p>
        </w:tc>
        <w:tc>
          <w:tcPr>
            <w:tcW w:w="1177" w:type="dxa"/>
            <w:tcBorders>
              <w:top w:val="nil"/>
              <w:left w:val="nil"/>
              <w:bottom w:val="single" w:sz="4" w:space="0" w:color="auto"/>
              <w:right w:val="single" w:sz="4" w:space="0" w:color="auto"/>
            </w:tcBorders>
            <w:shd w:val="clear" w:color="auto" w:fill="auto"/>
            <w:vAlign w:val="center"/>
          </w:tcPr>
          <w:p w14:paraId="3E9D1C3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&gt;=900头</w:t>
            </w:r>
          </w:p>
        </w:tc>
        <w:tc>
          <w:tcPr>
            <w:tcW w:w="1177" w:type="dxa"/>
            <w:tcBorders>
              <w:top w:val="nil"/>
              <w:left w:val="nil"/>
              <w:bottom w:val="single" w:sz="4" w:space="0" w:color="auto"/>
              <w:right w:val="single" w:sz="4" w:space="0" w:color="auto"/>
            </w:tcBorders>
            <w:shd w:val="clear" w:color="auto" w:fill="auto"/>
            <w:vAlign w:val="center"/>
          </w:tcPr>
          <w:p w14:paraId="2C4F455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3152头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24D82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85221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78AE2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三个月注射一次，全年注射4次</w:t>
            </w:r>
          </w:p>
        </w:tc>
      </w:tr>
      <w:tr w:rsidR="00400580" w14:paraId="7DF9866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EBD209"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E58B6C" w14:textId="77777777" w:rsidR="00400580" w:rsidRDefault="004005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7227425" w14:textId="77777777" w:rsidR="00400580" w:rsidRDefault="004005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CE74F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禽流感抗体检测数量</w:t>
            </w:r>
          </w:p>
        </w:tc>
        <w:tc>
          <w:tcPr>
            <w:tcW w:w="1177" w:type="dxa"/>
            <w:tcBorders>
              <w:top w:val="nil"/>
              <w:left w:val="nil"/>
              <w:bottom w:val="single" w:sz="4" w:space="0" w:color="auto"/>
              <w:right w:val="single" w:sz="4" w:space="0" w:color="auto"/>
            </w:tcBorders>
            <w:shd w:val="clear" w:color="auto" w:fill="auto"/>
            <w:vAlign w:val="center"/>
          </w:tcPr>
          <w:p w14:paraId="4E6A63E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&gt;=600头</w:t>
            </w:r>
          </w:p>
        </w:tc>
        <w:tc>
          <w:tcPr>
            <w:tcW w:w="1177" w:type="dxa"/>
            <w:tcBorders>
              <w:top w:val="nil"/>
              <w:left w:val="nil"/>
              <w:bottom w:val="single" w:sz="4" w:space="0" w:color="auto"/>
              <w:right w:val="single" w:sz="4" w:space="0" w:color="auto"/>
            </w:tcBorders>
            <w:shd w:val="clear" w:color="auto" w:fill="auto"/>
            <w:vAlign w:val="center"/>
          </w:tcPr>
          <w:p w14:paraId="62866609"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688头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05430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EA5D7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111903"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疫苗加倍使用</w:t>
            </w:r>
          </w:p>
        </w:tc>
      </w:tr>
      <w:tr w:rsidR="00400580" w14:paraId="79F4303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8A69A4C"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7A574F" w14:textId="77777777" w:rsidR="00400580" w:rsidRDefault="004005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2745BA6" w14:textId="77777777" w:rsidR="00400580" w:rsidRDefault="004005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ECC2F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实验室诊断技术培训人次</w:t>
            </w:r>
          </w:p>
        </w:tc>
        <w:tc>
          <w:tcPr>
            <w:tcW w:w="1177" w:type="dxa"/>
            <w:tcBorders>
              <w:top w:val="nil"/>
              <w:left w:val="nil"/>
              <w:bottom w:val="single" w:sz="4" w:space="0" w:color="auto"/>
              <w:right w:val="single" w:sz="4" w:space="0" w:color="auto"/>
            </w:tcBorders>
            <w:shd w:val="clear" w:color="auto" w:fill="auto"/>
            <w:vAlign w:val="center"/>
          </w:tcPr>
          <w:p w14:paraId="6A01ACB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&gt;=30人次</w:t>
            </w:r>
          </w:p>
        </w:tc>
        <w:tc>
          <w:tcPr>
            <w:tcW w:w="1177" w:type="dxa"/>
            <w:tcBorders>
              <w:top w:val="nil"/>
              <w:left w:val="nil"/>
              <w:bottom w:val="single" w:sz="4" w:space="0" w:color="auto"/>
              <w:right w:val="single" w:sz="4" w:space="0" w:color="auto"/>
            </w:tcBorders>
            <w:shd w:val="clear" w:color="auto" w:fill="auto"/>
            <w:vAlign w:val="center"/>
          </w:tcPr>
          <w:p w14:paraId="5D4BE0E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37人次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FF60B2"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2D6CA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ADE9E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进一步加强技术人员技术</w:t>
            </w:r>
          </w:p>
        </w:tc>
      </w:tr>
      <w:tr w:rsidR="00400580" w14:paraId="7CE21A9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E9B4C0"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BC7E16C" w14:textId="77777777" w:rsidR="00400580" w:rsidRDefault="0040058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E1FC48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C23B4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3D69691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0FF15DB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A4FE7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C2CB9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080CD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本项目资金使用过程符合相关制度</w:t>
            </w:r>
          </w:p>
        </w:tc>
      </w:tr>
      <w:tr w:rsidR="00400580" w14:paraId="550109E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22849F"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468E1F" w14:textId="77777777" w:rsidR="00400580" w:rsidRDefault="0040058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9C7043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FA953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资金拨付及时性（%）</w:t>
            </w:r>
          </w:p>
        </w:tc>
        <w:tc>
          <w:tcPr>
            <w:tcW w:w="1177" w:type="dxa"/>
            <w:tcBorders>
              <w:top w:val="nil"/>
              <w:left w:val="nil"/>
              <w:bottom w:val="single" w:sz="4" w:space="0" w:color="auto"/>
              <w:right w:val="single" w:sz="4" w:space="0" w:color="auto"/>
            </w:tcBorders>
            <w:shd w:val="clear" w:color="auto" w:fill="auto"/>
            <w:vAlign w:val="center"/>
          </w:tcPr>
          <w:p w14:paraId="523B3EE3"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45E8777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3CB4E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F4C82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AE5508" w14:textId="77777777" w:rsidR="00400580" w:rsidRDefault="00400580">
            <w:pPr>
              <w:jc w:val="center"/>
              <w:rPr>
                <w:rFonts w:ascii="等线" w:eastAsia="等线" w:hAnsi="等线" w:hint="eastAsia"/>
                <w:szCs w:val="22"/>
                <w14:ligatures w14:val="standardContextual"/>
              </w:rPr>
            </w:pPr>
          </w:p>
        </w:tc>
      </w:tr>
      <w:tr w:rsidR="00400580" w14:paraId="29EA186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3E6596F" w14:textId="77777777" w:rsidR="00400580" w:rsidRDefault="0040058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701C1B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7971E49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5A936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推进乡村振兴</w:t>
            </w:r>
          </w:p>
        </w:tc>
        <w:tc>
          <w:tcPr>
            <w:tcW w:w="1177" w:type="dxa"/>
            <w:tcBorders>
              <w:top w:val="nil"/>
              <w:left w:val="nil"/>
              <w:bottom w:val="single" w:sz="4" w:space="0" w:color="auto"/>
              <w:right w:val="single" w:sz="4" w:space="0" w:color="auto"/>
            </w:tcBorders>
            <w:shd w:val="clear" w:color="auto" w:fill="auto"/>
            <w:vAlign w:val="center"/>
          </w:tcPr>
          <w:p w14:paraId="2AD497B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全面推进</w:t>
            </w:r>
          </w:p>
        </w:tc>
        <w:tc>
          <w:tcPr>
            <w:tcW w:w="1177" w:type="dxa"/>
            <w:tcBorders>
              <w:top w:val="nil"/>
              <w:left w:val="nil"/>
              <w:bottom w:val="single" w:sz="4" w:space="0" w:color="auto"/>
              <w:right w:val="single" w:sz="4" w:space="0" w:color="auto"/>
            </w:tcBorders>
            <w:shd w:val="clear" w:color="auto" w:fill="auto"/>
            <w:vAlign w:val="center"/>
          </w:tcPr>
          <w:p w14:paraId="38CD89D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2E040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5E45B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A5FD0F" w14:textId="77777777" w:rsidR="00400580" w:rsidRDefault="00400580">
            <w:pPr>
              <w:jc w:val="center"/>
              <w:rPr>
                <w:rFonts w:ascii="等线" w:eastAsia="等线" w:hAnsi="等线" w:hint="eastAsia"/>
                <w:szCs w:val="22"/>
                <w14:ligatures w14:val="standardContextual"/>
              </w:rPr>
            </w:pPr>
          </w:p>
        </w:tc>
      </w:tr>
      <w:tr w:rsidR="00400580" w14:paraId="581333A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4B69C8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CA0C07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E0456A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95.11分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7CC160" w14:textId="77777777" w:rsidR="00400580" w:rsidRDefault="00400580">
            <w:pPr>
              <w:jc w:val="center"/>
              <w:rPr>
                <w:rFonts w:ascii="等线" w:eastAsia="等线" w:hAnsi="等线" w:hint="eastAsia"/>
                <w:szCs w:val="22"/>
                <w14:ligatures w14:val="standardContextual"/>
              </w:rPr>
            </w:pPr>
          </w:p>
        </w:tc>
      </w:tr>
    </w:tbl>
    <w:p w14:paraId="73B154D9" w14:textId="77777777" w:rsidR="00400580" w:rsidRDefault="00400580">
      <w:pPr>
        <w:ind w:firstLineChars="200" w:firstLine="640"/>
        <w:jc w:val="left"/>
        <w:rPr>
          <w:rFonts w:ascii="黑体" w:eastAsia="黑体" w:hAnsi="黑体" w:cs="宋体" w:hint="eastAsia"/>
          <w:bCs/>
          <w:kern w:val="0"/>
          <w:sz w:val="32"/>
          <w:szCs w:val="32"/>
        </w:rPr>
      </w:pPr>
    </w:p>
    <w:p w14:paraId="7510F819" w14:textId="77777777" w:rsidR="00400580"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70ACD3F" w14:textId="77777777" w:rsidR="00400580"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6470AE98" w14:textId="77777777" w:rsidR="00400580" w:rsidRDefault="00000000">
      <w:pPr>
        <w:jc w:val="center"/>
        <w:outlineLvl w:val="0"/>
        <w:rPr>
          <w:rFonts w:ascii="黑体" w:eastAsia="黑体" w:hAnsi="黑体" w:hint="eastAsia"/>
          <w:sz w:val="32"/>
          <w:szCs w:val="32"/>
        </w:rPr>
      </w:pPr>
      <w:bookmarkStart w:id="32" w:name="_Toc24143"/>
      <w:bookmarkStart w:id="33"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51E6ECB6"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313E6BF"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D88050D"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636B17D"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B440C96"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CA399DA"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B522559"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96FA98F"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BC8D82C"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319E852"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3F297E9" w14:textId="77777777" w:rsidR="0040058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CBAA4E1" w14:textId="77777777" w:rsidR="0040058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F542069" w14:textId="77777777" w:rsidR="0040058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96C195C" w14:textId="77777777" w:rsidR="00400580"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315C79F" w14:textId="77777777" w:rsidR="00400580"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597F981" w14:textId="77777777" w:rsidR="00400580" w:rsidRDefault="00000000">
      <w:pPr>
        <w:ind w:firstLineChars="200" w:firstLine="640"/>
        <w:outlineLvl w:val="1"/>
        <w:rPr>
          <w:rFonts w:ascii="黑体" w:eastAsia="仿宋_GB2312" w:hAnsi="黑体" w:cs="宋体" w:hint="eastAsia"/>
          <w:bCs/>
          <w:kern w:val="0"/>
          <w:sz w:val="32"/>
          <w:szCs w:val="32"/>
        </w:rPr>
      </w:pPr>
      <w:bookmarkStart w:id="34" w:name="_Toc2183"/>
      <w:bookmarkStart w:id="35" w:name="_Toc6062"/>
      <w:r>
        <w:rPr>
          <w:rFonts w:ascii="黑体" w:eastAsia="仿宋_GB2312" w:hAnsi="黑体" w:cs="宋体" w:hint="eastAsia"/>
          <w:bCs/>
          <w:kern w:val="0"/>
          <w:sz w:val="32"/>
          <w:szCs w:val="32"/>
        </w:rPr>
        <w:t>一、《收入支出决算总表》</w:t>
      </w:r>
      <w:bookmarkEnd w:id="34"/>
      <w:bookmarkEnd w:id="35"/>
    </w:p>
    <w:p w14:paraId="324B7C11" w14:textId="77777777" w:rsidR="00400580" w:rsidRDefault="00000000">
      <w:pPr>
        <w:ind w:firstLineChars="200" w:firstLine="640"/>
        <w:outlineLvl w:val="1"/>
        <w:rPr>
          <w:rFonts w:ascii="黑体" w:eastAsia="仿宋_GB2312" w:hAnsi="黑体" w:cs="宋体" w:hint="eastAsia"/>
          <w:bCs/>
          <w:kern w:val="0"/>
          <w:sz w:val="32"/>
          <w:szCs w:val="32"/>
        </w:rPr>
      </w:pPr>
      <w:bookmarkStart w:id="36" w:name="_Toc30364"/>
      <w:bookmarkStart w:id="37" w:name="_Toc24532"/>
      <w:r>
        <w:rPr>
          <w:rFonts w:ascii="黑体" w:eastAsia="仿宋_GB2312" w:hAnsi="黑体" w:cs="宋体" w:hint="eastAsia"/>
          <w:bCs/>
          <w:kern w:val="0"/>
          <w:sz w:val="32"/>
          <w:szCs w:val="32"/>
        </w:rPr>
        <w:t>二、《收入决算表》</w:t>
      </w:r>
      <w:bookmarkEnd w:id="36"/>
      <w:bookmarkEnd w:id="37"/>
    </w:p>
    <w:p w14:paraId="14E3667B" w14:textId="77777777" w:rsidR="00400580"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Pr>
          <w:rFonts w:ascii="黑体" w:eastAsia="仿宋_GB2312" w:hAnsi="黑体" w:cs="宋体" w:hint="eastAsia"/>
          <w:bCs/>
          <w:kern w:val="0"/>
          <w:sz w:val="32"/>
          <w:szCs w:val="32"/>
        </w:rPr>
        <w:t>三、《支出决算表》</w:t>
      </w:r>
      <w:bookmarkEnd w:id="38"/>
      <w:bookmarkEnd w:id="39"/>
    </w:p>
    <w:p w14:paraId="72DF290A" w14:textId="77777777" w:rsidR="00400580" w:rsidRDefault="00000000">
      <w:pPr>
        <w:ind w:firstLineChars="200" w:firstLine="640"/>
        <w:outlineLvl w:val="1"/>
        <w:rPr>
          <w:rFonts w:ascii="黑体" w:eastAsia="仿宋_GB2312" w:hAnsi="黑体" w:cs="宋体" w:hint="eastAsia"/>
          <w:bCs/>
          <w:kern w:val="0"/>
          <w:sz w:val="32"/>
          <w:szCs w:val="32"/>
        </w:rPr>
      </w:pPr>
      <w:bookmarkStart w:id="40" w:name="_Toc28786"/>
      <w:bookmarkStart w:id="41" w:name="_Toc14238"/>
      <w:r>
        <w:rPr>
          <w:rFonts w:ascii="黑体" w:eastAsia="仿宋_GB2312" w:hAnsi="黑体" w:cs="宋体" w:hint="eastAsia"/>
          <w:bCs/>
          <w:kern w:val="0"/>
          <w:sz w:val="32"/>
          <w:szCs w:val="32"/>
        </w:rPr>
        <w:t>四、《财政拨款收入支出决算总表》</w:t>
      </w:r>
      <w:bookmarkEnd w:id="40"/>
      <w:bookmarkEnd w:id="41"/>
    </w:p>
    <w:p w14:paraId="763652D9" w14:textId="77777777" w:rsidR="00400580"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Pr>
          <w:rFonts w:ascii="黑体" w:eastAsia="仿宋_GB2312" w:hAnsi="黑体" w:cs="宋体" w:hint="eastAsia"/>
          <w:bCs/>
          <w:kern w:val="0"/>
          <w:sz w:val="32"/>
          <w:szCs w:val="32"/>
        </w:rPr>
        <w:t>五、《一般公共预算财政拨款支出决算表》</w:t>
      </w:r>
      <w:bookmarkEnd w:id="42"/>
      <w:bookmarkEnd w:id="43"/>
    </w:p>
    <w:p w14:paraId="1D155688" w14:textId="77777777" w:rsidR="00400580" w:rsidRDefault="00000000">
      <w:pPr>
        <w:ind w:firstLineChars="200" w:firstLine="640"/>
        <w:outlineLvl w:val="1"/>
        <w:rPr>
          <w:rFonts w:ascii="黑体" w:eastAsia="仿宋_GB2312" w:hAnsi="黑体" w:cs="宋体" w:hint="eastAsia"/>
          <w:bCs/>
          <w:kern w:val="0"/>
          <w:sz w:val="32"/>
          <w:szCs w:val="32"/>
        </w:rPr>
      </w:pPr>
      <w:bookmarkStart w:id="44" w:name="_Toc8884"/>
      <w:bookmarkStart w:id="45" w:name="_Toc5626"/>
      <w:r>
        <w:rPr>
          <w:rFonts w:ascii="黑体" w:eastAsia="仿宋_GB2312" w:hAnsi="黑体" w:cs="宋体" w:hint="eastAsia"/>
          <w:bCs/>
          <w:kern w:val="0"/>
          <w:sz w:val="32"/>
          <w:szCs w:val="32"/>
        </w:rPr>
        <w:t>六、《一般公共预算财政拨款基本支出决算表》</w:t>
      </w:r>
      <w:bookmarkEnd w:id="44"/>
      <w:bookmarkEnd w:id="45"/>
    </w:p>
    <w:p w14:paraId="56A55115" w14:textId="77777777" w:rsidR="0040058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14:paraId="1F247CE1" w14:textId="77777777" w:rsidR="00400580" w:rsidRDefault="00000000">
      <w:pPr>
        <w:ind w:firstLineChars="200" w:firstLine="640"/>
        <w:outlineLvl w:val="1"/>
        <w:rPr>
          <w:rFonts w:ascii="黑体" w:eastAsia="仿宋_GB2312" w:hAnsi="黑体" w:cs="宋体" w:hint="eastAsia"/>
          <w:bCs/>
          <w:kern w:val="0"/>
          <w:sz w:val="32"/>
          <w:szCs w:val="32"/>
        </w:rPr>
      </w:pPr>
      <w:bookmarkStart w:id="48" w:name="_Toc7643"/>
      <w:bookmarkStart w:id="49" w:name="_Toc5453"/>
      <w:r>
        <w:rPr>
          <w:rFonts w:ascii="黑体" w:eastAsia="仿宋_GB2312" w:hAnsi="黑体" w:cs="宋体" w:hint="eastAsia"/>
          <w:bCs/>
          <w:kern w:val="0"/>
          <w:sz w:val="32"/>
          <w:szCs w:val="32"/>
        </w:rPr>
        <w:t>八、《政府性基金预算财政拨款收入支出决算表》</w:t>
      </w:r>
      <w:bookmarkEnd w:id="48"/>
      <w:bookmarkEnd w:id="49"/>
    </w:p>
    <w:p w14:paraId="55D78CF1" w14:textId="77777777" w:rsidR="0040058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946E526" w14:textId="77777777" w:rsidR="00400580" w:rsidRDefault="00400580">
      <w:pPr>
        <w:ind w:firstLineChars="200" w:firstLine="640"/>
        <w:rPr>
          <w:rFonts w:ascii="仿宋_GB2312" w:eastAsia="仿宋_GB2312"/>
          <w:sz w:val="32"/>
          <w:szCs w:val="32"/>
        </w:rPr>
      </w:pPr>
    </w:p>
    <w:p w14:paraId="3FD1B65A" w14:textId="77777777" w:rsidR="00400580" w:rsidRDefault="00400580">
      <w:pPr>
        <w:ind w:firstLineChars="200" w:firstLine="640"/>
        <w:outlineLvl w:val="1"/>
        <w:rPr>
          <w:rFonts w:ascii="黑体" w:eastAsia="黑体" w:hAnsi="黑体" w:cs="宋体" w:hint="eastAsia"/>
          <w:bCs/>
          <w:kern w:val="0"/>
          <w:sz w:val="32"/>
          <w:szCs w:val="32"/>
        </w:rPr>
      </w:pPr>
    </w:p>
    <w:sectPr w:rsidR="0040058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944176" w14:textId="77777777" w:rsidR="001A5A1B" w:rsidRDefault="001A5A1B">
      <w:r>
        <w:separator/>
      </w:r>
    </w:p>
  </w:endnote>
  <w:endnote w:type="continuationSeparator" w:id="0">
    <w:p w14:paraId="6A682DBC" w14:textId="77777777" w:rsidR="001A5A1B" w:rsidRDefault="001A5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20BAE" w14:textId="77777777" w:rsidR="00400580" w:rsidRDefault="00000000">
    <w:pPr>
      <w:pStyle w:val="a4"/>
    </w:pPr>
    <w:r>
      <w:rPr>
        <w:noProof/>
      </w:rPr>
      <mc:AlternateContent>
        <mc:Choice Requires="wps">
          <w:drawing>
            <wp:anchor distT="0" distB="0" distL="114300" distR="114300" simplePos="0" relativeHeight="251659264" behindDoc="0" locked="0" layoutInCell="1" allowOverlap="1" wp14:anchorId="5B7E3B55" wp14:editId="14B7089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CD0709A" w14:textId="77777777" w:rsidR="0040058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B7E3B55"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CD0709A" w14:textId="77777777" w:rsidR="0040058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9FDD13" w14:textId="77777777" w:rsidR="001A5A1B" w:rsidRDefault="001A5A1B">
      <w:r>
        <w:separator/>
      </w:r>
    </w:p>
  </w:footnote>
  <w:footnote w:type="continuationSeparator" w:id="0">
    <w:p w14:paraId="3442BDED" w14:textId="77777777" w:rsidR="001A5A1B" w:rsidRDefault="001A5A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36702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c5ZjY5NWVkNzVmOWMxYzRmZjFmNDQ2ZmVkMDk3MjMifQ=="/>
    <w:docVar w:name="KSO_WPS_MARK_KEY" w:val="41ee2a61-2d54-4f93-83be-afdb9a40d732"/>
  </w:docVars>
  <w:rsids>
    <w:rsidRoot w:val="00400580"/>
    <w:rsid w:val="000747E3"/>
    <w:rsid w:val="0010781D"/>
    <w:rsid w:val="001A5A1B"/>
    <w:rsid w:val="00213C59"/>
    <w:rsid w:val="002A1E51"/>
    <w:rsid w:val="003210CE"/>
    <w:rsid w:val="00400580"/>
    <w:rsid w:val="004528CD"/>
    <w:rsid w:val="00503EE6"/>
    <w:rsid w:val="00717815"/>
    <w:rsid w:val="00786570"/>
    <w:rsid w:val="00852B26"/>
    <w:rsid w:val="008B283A"/>
    <w:rsid w:val="008F21CD"/>
    <w:rsid w:val="00B32136"/>
    <w:rsid w:val="00B558DB"/>
    <w:rsid w:val="00B70D59"/>
    <w:rsid w:val="00C07EC2"/>
    <w:rsid w:val="00CF6D37"/>
    <w:rsid w:val="00D55605"/>
    <w:rsid w:val="00F04261"/>
    <w:rsid w:val="00F1256D"/>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9F20278"/>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430E89"/>
  <w15:docId w15:val="{03ACD286-B5B9-4B6F-AF85-53CFE5B4C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autoRedefine/>
    <w:qFormat/>
    <w:pPr>
      <w:ind w:leftChars="400" w:left="840"/>
    </w:pPr>
  </w:style>
  <w:style w:type="paragraph" w:styleId="a4">
    <w:name w:val="footer"/>
    <w:basedOn w:val="a"/>
    <w:autoRedefine/>
    <w:qFormat/>
    <w:pPr>
      <w:tabs>
        <w:tab w:val="center" w:pos="4153"/>
        <w:tab w:val="right" w:pos="8306"/>
      </w:tabs>
      <w:snapToGrid w:val="0"/>
      <w:jc w:val="left"/>
    </w:pPr>
    <w:rPr>
      <w:sz w:val="18"/>
    </w:rPr>
  </w:style>
  <w:style w:type="paragraph" w:styleId="a5">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autoRedefine/>
    <w:qFormat/>
  </w:style>
  <w:style w:type="paragraph" w:styleId="TOC2">
    <w:name w:val="toc 2"/>
    <w:basedOn w:val="a"/>
    <w:next w:val="a"/>
    <w:autoRedefine/>
    <w:qFormat/>
    <w:pPr>
      <w:ind w:leftChars="200" w:left="420"/>
    </w:pPr>
  </w:style>
  <w:style w:type="paragraph" w:styleId="a6">
    <w:name w:val="Normal (Web)"/>
    <w:basedOn w:val="a"/>
    <w:autoRedefine/>
    <w:qFormat/>
    <w:pPr>
      <w:spacing w:before="100" w:beforeAutospacing="1" w:after="100" w:afterAutospacing="1"/>
      <w:jc w:val="left"/>
    </w:pPr>
    <w:rPr>
      <w:kern w:val="0"/>
      <w:sz w:val="24"/>
    </w:rPr>
  </w:style>
  <w:style w:type="character" w:styleId="a7">
    <w:name w:val="Strong"/>
    <w:basedOn w:val="a0"/>
    <w:autoRedefine/>
    <w:qFormat/>
    <w:rPr>
      <w:b/>
    </w:rPr>
  </w:style>
  <w:style w:type="paragraph" w:customStyle="1" w:styleId="WPSOffice3">
    <w:name w:val="WPSOffice手动目录 3"/>
    <w:autoRedefine/>
    <w:qFormat/>
    <w:pPr>
      <w:ind w:leftChars="400" w:left="400"/>
    </w:pPr>
  </w:style>
  <w:style w:type="paragraph" w:customStyle="1" w:styleId="WPSOffice2">
    <w:name w:val="WPSOffice手动目录 2"/>
    <w:autoRedefine/>
    <w:qFormat/>
    <w:pPr>
      <w:ind w:leftChars="200" w:left="200"/>
    </w:pPr>
  </w:style>
  <w:style w:type="paragraph" w:customStyle="1" w:styleId="WPSOffice1">
    <w:name w:val="WPSOffice手动目录 1"/>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18</Pages>
  <Words>1401</Words>
  <Characters>7990</Characters>
  <Application>Microsoft Office Word</Application>
  <DocSecurity>0</DocSecurity>
  <Lines>66</Lines>
  <Paragraphs>18</Paragraphs>
  <ScaleCrop>false</ScaleCrop>
  <Company/>
  <LinksUpToDate>false</LinksUpToDate>
  <CharactersWithSpaces>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6</cp:revision>
  <dcterms:created xsi:type="dcterms:W3CDTF">2014-10-29T12:08:00Z</dcterms:created>
  <dcterms:modified xsi:type="dcterms:W3CDTF">2024-11-08T10:04:00Z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D624B15633CD43C8BF9435464A96BF70</vt:lpwstr>
  </property>
</Properties>
</file>