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14:paraId="1D33FA27">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6E106AD4">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06DF3DD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bookmarkStart w:id="0" w:name="_GoBack"/>
      <w:bookmarkEnd w:id="0"/>
    </w:p>
    <w:p w14:paraId="3D54B155">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523DB4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B9F0A2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1F5472C6">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14:paraId="05C3E73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478A78FB">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14:paraId="26501804">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69B61B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0A436978">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5731CF0C">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2CE0F0E1">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4C85A2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3DB1725E">
      <w:pPr>
        <w:spacing w:line="540" w:lineRule="exact"/>
        <w:rPr>
          <w:rFonts w:hAnsi="宋体" w:eastAsia="仿宋_GB2312" w:cs="宋体"/>
          <w:color w:val="000000" w:themeColor="text1"/>
          <w:kern w:val="0"/>
          <w:sz w:val="30"/>
          <w:szCs w:val="30"/>
          <w14:textFill>
            <w14:solidFill>
              <w14:schemeClr w14:val="tx1"/>
            </w14:solidFill>
          </w14:textFill>
        </w:rPr>
      </w:pPr>
    </w:p>
    <w:p w14:paraId="5B7D51AB">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14:paraId="71B2FEEF">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乌财社【2022】397号关于提前下达2023年中央财政困难群众救助补助资金预算[直达资金]的通知</w:t>
      </w:r>
    </w:p>
    <w:p w14:paraId="7AEB13A7">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米东区民政局机关</w:t>
      </w:r>
    </w:p>
    <w:p w14:paraId="275DDF30">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米东区民政局机关</w:t>
      </w:r>
    </w:p>
    <w:p w14:paraId="5747EF1B">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任建全</w:t>
      </w:r>
    </w:p>
    <w:p w14:paraId="7DACC143">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2024年05月20日</w:t>
      </w:r>
    </w:p>
    <w:p w14:paraId="677F1B1A">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14:paraId="123FA6B7">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14:paraId="2EEB6E08">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14:paraId="18E9018D">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14:paraId="3DED2D21">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根据《乌鲁木齐市民政局、乌鲁木齐市财政局关于提高困难群众基本生活救助保障标准的通知》（乌民发【2022】49号）文件精神，为贯彻落实各级惠民政策，切实保障乌鲁木齐城乡困难群众的基本生活，使城乡困难群众保障待遇与物价水平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①用于规范城乡低保政策实施，合理确定保障标准，使低保对象基本生活得到有效保障；②统筹城乡特困人员救助供养工作，合理确定保障标准；③规范实事临时救助政策，时限及时高效、救急解难；④为生活无着落流浪乞讨人员提供临时食宿、疾病救治、协助返回等救助，并妥善安置返乡受助人员；⑤对流浪未成年人提供特殊优先保护及教育等专业服务，确保其健康成长；⑥对农村留守儿童、困境儿童等存在流浪风险的未成年人以及流浪乞讨儿童开展家庭监护评估、监护支持、精神关爱等操作，为其提供临时照料、医疗救治、心理疏导、行为矫治、社会融入、家庭关系调试、法律援助等专业服务，从源头上防止未成年人外出流浪；⑦引导地方提高孤儿生活保障水平，孤儿生活保障政策规范高效实施，使孤儿、艾滋病病毒感染儿童和事实无人抚养儿生活基本得到保障；⑧积极走失、务工不着、家庭暴力受害者等离家在外的临时遇困人员提供救助。</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2023年当年完成情况：实际完成情况为①城乡最低生活保障工作，当年共发放低保金417.94万元；②城乡特困人员救助供养工作，当年共发放特困人员救助供养金212.90万元；③临时救助工作，当年共发放临时救助金1.85万元；④生活无着落流浪乞讨人员救助工作，当年共使用流浪乞讨人员救助金5万元；⑤因当年未发现流浪未成年人，故此项工作未使用经费；⑥此项工作已由社会福利科通过未保站开展，未单独列支经费；⑦儿童福利工作，当年共发放孤儿保障金6.92万元；⑧因当年为发现临时遇困人员，故此项工作未使用经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（1）该项目资金投入情况：经关于提前下达2023年中央财政困难群众救助补助资金预算（直达资金）的通知（乌财社【2022】397号）号文件批准，项目系2023年中央资金，共安排预算647万元，全年无资金调整。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该项目资金使用情况：①总预算情况：647万元；②资金投入包括城乡最低生活保障420万元，执行418.01万元，执行率99.53%；城乡特困人员救助供养213万元，执行212.83万元，执行率99.95%；临时救助2万元，执行1.85万元，执行率92.5%；流浪乞讨人员救助5万元，执行5万元，执行率100%；孤儿保障金7万元执行6.92万元，执行率98.86%；③预算执行率：99.63%。</w:t>
      </w:r>
    </w:p>
    <w:p w14:paraId="4EE9199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14:paraId="5F877E1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向乌鲁木齐市米东区符合相应条件的农村低保对象、城市低保对象、城市三无特困人员临时救助人员等困难人员依据相关文件规定的标准发放补助。该项目的实施可逐步提高困难群众生活水平，让受益人员获得幸福感、满足感，维持当地社会稳定，为当地社会的长治久安提供重要保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该项目阶段性目标为：为全区至少1000位困难群众发放救助补助资金，保证资金发放及时率，提高困难群众生活水平，健全困难群众救助体系，让困难群众感到满意。</w:t>
      </w:r>
    </w:p>
    <w:p w14:paraId="6BFCEFBA">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14:paraId="61859553">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14:paraId="5CBE7A93">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绩效评价完整性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的目标涵盖了低保户；集中、分散特困供养人员；流浪乞讨人员；孤儿等困难群体，关于上述困难群体救助标准、救助时限均可通过绩效评价体系完整地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年初通过各业务科室上年度救助人数及历史标准分配资金，每月初由各业务科室统计汇总救助人数，根据救助标准核算金额，每月10号通过第三方机构代发一卡通发放，资金全部拨付到财政局开设的代发账户，第三方代发成功后及时向业务科室返回银行代发成功的到人的明细，确保资金每月15号前拨付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由第三方机构代发一卡通发放，资金全部拨付到财政局开设的代发账户，第三方代发成功后及时向业务科室返回银行代发成功的到人的明细。资金发放完成后，本单位会计、出纳及时将支付审批单、会计凭证、资金拨付表、发放人员名单、一卡通发放明细单等相关资料分类归档。以确保数据的准确性和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社【2022】397号关于提前下达2023年中央财政困难群众救助补助资金预算[直达资金]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（1）绩效评价的对象：乌财社【2022】397号关于提前下达2023年中央财政困难群众救助补助资金预算[直达资金]的通知项目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2022】397号关于提前下达2023年中央财政困难群众救助补助资金预算[直达资金]的通知项目的用于困难群众救助补助，涵盖了低保户、五保户、集中（分散）供养特困人员、流浪乞讨人员、孤儿等困难群体，目前自评工作已完成，资金全年拨付647万，实际使用644.6万元，资金使用率99.63%，资金投入包括城乡最低生活保障420万元，执行418.01万元，执行率99.53%；城乡特困人员救助供养213万元，执行212.83万元，执行率99.95%；临时救助2万元，执行1.85万元，执行率92.5%；流浪乞讨人员救助5万元，执行5万元，执行率100%；孤儿保障金7万元执行6.92万元，执行率98.86%；此项目的执行有效的缓解了各类困难群众的生活压力，提高了困难群众的生活质量，使其幸福感、满意度有效提升。此项工作开展主要由各业务科室通过各乡镇、街道、社区、村集中开展摸排汇总，积极宣传各项救助政策，开展规范化程序建设。目前存在的主要问题在于救助困难群众一卡通账户经常停用或注销，致使发放失败。原因主要有二点：一是各乡镇、街道、社区、村一卡通录入人员信息录入错误；二是救助困难群众更换一卡通后未与工作人员联系更新信息。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对2023年困难群众救助补助经费项目 进行客观评价，最终评分结果为：总分为99.98分，绩效评级为优。</w:t>
      </w:r>
    </w:p>
    <w:p w14:paraId="1271490C">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14:paraId="1F0C1D90">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指标解释</w:t>
      </w:r>
      <w:r>
        <w:rPr>
          <w:rStyle w:val="18"/>
          <w:rFonts w:hint="eastAsia" w:ascii="楷体" w:hAnsi="楷体" w:eastAsia="楷体"/>
          <w:b w:val="0"/>
          <w:bCs w:val="0"/>
          <w:color w:val="000000" w:themeColor="text1"/>
          <w:spacing w:val="-4"/>
          <w:sz w:val="32"/>
          <w:szCs w:val="32"/>
          <w14:textFill>
            <w14:solidFill>
              <w14:schemeClr w14:val="tx1"/>
            </w14:solidFill>
          </w14:textFill>
        </w:rPr>
        <w:tab/>
        <w:t>指标说明</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tab/>
        <w:t>全年困难群众救助人数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困难群众救助人数：每月救助人数，根据人员情况有所增减。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年初设定救助人数不低于1000人，按照实际救助人数比例得分。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t>资金发放工作完成率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t>项目资金数与实际发放数数的比率，用以反映和考核项目资金支出质量目标的实现程度。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t>资金发放完成率率=（实际发放资金储/目标资金数）×100%。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项目实际完成时间与计划完成时间的比较，用以反映和考核项目产出时效目标的实现程度。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t>低保金发放标准</w:t>
      </w:r>
      <w:r>
        <w:rPr>
          <w:rStyle w:val="18"/>
          <w:rFonts w:hint="eastAsia" w:ascii="楷体" w:hAnsi="楷体" w:eastAsia="楷体"/>
          <w:b w:val="0"/>
          <w:bCs w:val="0"/>
          <w:color w:val="000000" w:themeColor="text1"/>
          <w:spacing w:val="-4"/>
          <w:sz w:val="32"/>
          <w:szCs w:val="32"/>
          <w14:textFill>
            <w14:solidFill>
              <w14:schemeClr w14:val="tx1"/>
            </w14:solidFill>
          </w14:textFill>
        </w:rPr>
        <w:tab/>
        <w:t>城市低保金发放标准：700元/人/月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农村低保金发放标准：600元/人/月</w:t>
      </w:r>
      <w:r>
        <w:rPr>
          <w:rStyle w:val="18"/>
          <w:rFonts w:hint="eastAsia" w:ascii="楷体" w:hAnsi="楷体" w:eastAsia="楷体"/>
          <w:b w:val="0"/>
          <w:bCs w:val="0"/>
          <w:color w:val="000000" w:themeColor="text1"/>
          <w:spacing w:val="-4"/>
          <w:sz w:val="32"/>
          <w:szCs w:val="32"/>
          <w14:textFill>
            <w14:solidFill>
              <w14:schemeClr w14:val="tx1"/>
            </w14:solidFill>
          </w14:textFill>
        </w:rPr>
        <w:tab/>
        <w:t>评价是否按照规定低保金发放标准进行实际发放。</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若按照规定低保金发放标准，得满分；若未按照规定低保金发放标准，不得分。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t>提高困难群众生活水平</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项目实施所产生的效益。</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项目实施所产生的社会效益、经济效益、生态效益、可持续影响等。可根据项目实际情况有选择地设置和细化。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完善困难群众救助工作体系</w:t>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t>社会公众或服务对象对项目实施效果的满意程度。</w:t>
      </w:r>
      <w:r>
        <w:rPr>
          <w:rStyle w:val="18"/>
          <w:rFonts w:hint="eastAsia" w:ascii="楷体" w:hAnsi="楷体" w:eastAsia="楷体"/>
          <w:b w:val="0"/>
          <w:bCs w:val="0"/>
          <w:color w:val="000000" w:themeColor="text1"/>
          <w:spacing w:val="-4"/>
          <w:sz w:val="32"/>
          <w:szCs w:val="32"/>
          <w14:textFill>
            <w14:solidFill>
              <w14:schemeClr w14:val="tx1"/>
            </w14:solidFill>
          </w14:textFill>
        </w:rPr>
        <w:tab/>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2022】397号关于提前下达2023年中央财政困难群众救助补助资金预算[直达资金]的通知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·《关于印发《乌鲁木齐市最低生活保障审核确认实施办法》的通知》（乌民发规【2021】1号）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·《关于印发乌鲁木齐市最低生活保障实事细则的通知》乌民发（【2019】109号文）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w:t>
      </w:r>
    </w:p>
    <w:p w14:paraId="2ED6ECBD">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14:paraId="0644D6D2">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（三）绩效评价工作过程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14:paraId="702BFB2D">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结合项目特点，制定符合项目实际的绩效评价指标体系及评分标准，通过数据采集、问卷调查及访谈等形式，对2023年困难群众救助补助经费项目 进行客观评价，最终评分结果为：总分为99.98分，绩效评级为优[本次绩效评价结果实施百分制和四级分类，其中90（含）-100分为优、80（含）-90分为良、70（含）-80分为中、70分以下为差。]。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4.98</w:t>
      </w:r>
      <w:r>
        <w:rPr>
          <w:rStyle w:val="18"/>
          <w:rFonts w:hint="eastAsia" w:ascii="楷体" w:hAnsi="楷体" w:eastAsia="楷体"/>
          <w:b w:val="0"/>
          <w:bCs w:val="0"/>
          <w:color w:val="000000" w:themeColor="text1"/>
          <w:spacing w:val="-4"/>
          <w:sz w:val="32"/>
          <w:szCs w:val="32"/>
          <w14:textFill>
            <w14:solidFill>
              <w14:schemeClr w14:val="tx1"/>
            </w14:solidFill>
          </w14:textFill>
        </w:rPr>
        <w:tab/>
        <w:t>99.6%</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3</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4</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t>资金发放工作完成率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t>低保金发放标准</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t>项目效益</w:t>
      </w:r>
      <w:r>
        <w:rPr>
          <w:rStyle w:val="18"/>
          <w:rFonts w:hint="eastAsia" w:ascii="楷体" w:hAnsi="楷体" w:eastAsia="楷体"/>
          <w:b w:val="0"/>
          <w:bCs w:val="0"/>
          <w:color w:val="000000" w:themeColor="text1"/>
          <w:spacing w:val="-4"/>
          <w:sz w:val="32"/>
          <w:szCs w:val="32"/>
          <w14:textFill>
            <w14:solidFill>
              <w14:schemeClr w14:val="tx1"/>
            </w14:solidFill>
          </w14:textFill>
        </w:rPr>
        <w:tab/>
        <w:t>提高困难群众生活水平</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t/>
      </w:r>
      <w:r>
        <w:rPr>
          <w:rStyle w:val="18"/>
          <w:rFonts w:hint="eastAsia" w:ascii="楷体" w:hAnsi="楷体" w:eastAsia="楷体"/>
          <w:b w:val="0"/>
          <w:bCs w:val="0"/>
          <w:color w:val="000000" w:themeColor="text1"/>
          <w:spacing w:val="-4"/>
          <w:sz w:val="32"/>
          <w:szCs w:val="32"/>
          <w14:textFill>
            <w14:solidFill>
              <w14:schemeClr w14:val="tx1"/>
            </w14:solidFill>
          </w14:textFill>
        </w:rPr>
        <w:tab/>
        <w:t>完善困难群众救助工作体系</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5</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资金区财政及时拨付，单位在此次评价期间内，根据《关于印发《乌鲁木齐市最低生活保障审核确认实施办法》的通知》（乌民发规【2021】1号）、《关于印发乌鲁木齐市最低生活保障实施办法的通知》（乌政办【2019】122号）等文件相关规定，有序完成设定目标的部分工作任务，为全区城乡生活困难群众发放最低生活保障418.01万元，为城乡特困人员发放救助供养212.83万元，发放临时救助1.85万元、流浪乞讨人员救助5万元、孤儿保障金6.92万元。该项目的实施可逐步提高困难群众生活水平，让受益人员获得幸福感、满足感，维持当地社会稳定，为当地社会的长治久安提供重要保障。</w:t>
      </w:r>
    </w:p>
    <w:p w14:paraId="624FD63F">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14:paraId="2BDB141E">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14:paraId="0E9F8597">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关于印发乌鲁木齐市最低生活保障实事细则的通知》乌民发【2019】109号文、《关于印发《乌鲁木齐市最低生活保障审核确认实施办法》的通知》（乌民发规【2021】1号）、《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等法规、政策要求。同时，根据民政局三定方案职责，贯彻执行社会救助政策和标准，健全城乡救助体系，组织实施城乡居民最低生活保障、困难群体专项救助、临时救助工作；指导特困群体供养和农村敬老院建设管理工作；贯彻落实社会保障兜底脱贫政策和标准。项目与部门职责范围相符，属于部门履职所需。此外，本项目属于公共财政支持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由各业务科室统计汇总预计需要救助人数金额开展预算工作，由民政厅统一分配资金到各地州市，各地州市根据各区县情况分配资金，预算比例由中央、自治区、地州市、县区本级各承担一部分，申请设立，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和满意度构建绩效评价指标，且具有明确性、可衡量性、可实现性、相关性和时限性等特点，能较为全面地反映本项目的救助困难群众人数及健全困难群众救助体系工作、救助困难群众满意度，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绩效目标明确性：此项中央和自治区直达资金，发放符合政策条件人数明确，发放标准透明。其中，目标已细化为具体的绩效指标，困难群众救助人数&gt;=1000人,资金发放工作完成率&gt;=95%,</w:t>
      </w:r>
      <w:r>
        <w:rPr>
          <w:rStyle w:val="18"/>
          <w:rFonts w:hint="eastAsia" w:ascii="楷体" w:hAnsi="楷体" w:eastAsia="楷体"/>
          <w:b w:val="0"/>
          <w:bCs w:val="0"/>
          <w:color w:val="000000" w:themeColor="text1"/>
          <w:spacing w:val="-4"/>
          <w:sz w:val="32"/>
          <w:szCs w:val="32"/>
          <w14:textFill>
            <w14:solidFill>
              <w14:schemeClr w14:val="tx1"/>
            </w14:solidFill>
          </w14:textFill>
        </w:rPr>
        <w:tab/>
        <w:t>项目完成时限&lt;=12个月,困难群众资金发放及时率&gt;=95%,</w:t>
      </w:r>
      <w:r>
        <w:rPr>
          <w:rStyle w:val="18"/>
          <w:rFonts w:hint="eastAsia" w:ascii="楷体" w:hAnsi="楷体" w:eastAsia="楷体"/>
          <w:b w:val="0"/>
          <w:bCs w:val="0"/>
          <w:color w:val="000000" w:themeColor="text1"/>
          <w:spacing w:val="-4"/>
          <w:sz w:val="32"/>
          <w:szCs w:val="32"/>
          <w14:textFill>
            <w14:solidFill>
              <w14:schemeClr w14:val="tx1"/>
            </w14:solidFill>
          </w14:textFill>
        </w:rPr>
        <w:tab/>
        <w:t>困难群众生活水平有效提高,困难群众救助工作体系有效完善,困难群众满意度&gt;=95%,可通过数量指标、质量指标、时效指标，社会效益和满意度指标予以量化，并具有确切的评价标准，且指标设定均与困难群众救助的项目总目标相关。各项指标均能在现实条件下收集到相关数据进行佐证，如，资金拨付表、一卡通发放明细等。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本项目严格按照业务科室审批各乡镇基层上报数据符合条件享受政策补贴的农村低保户人数，城市低保户的人数及特困供养人数等困难群众统计汇总上报的，且符合享受政策标准都是统一公开，故预算编制科学严谨。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此项目资金分配按根据《乌鲁木齐市民政局、乌鲁木齐市财政局关于提高困难群众基本生活救助保障标准的通知》（乌民发【2022】49号）、《关于提高我市城乡低保标准的通知》（乌民发〔2021〕9号）等文件要求对符合条件的困难群众进行资金分配及发放，故资金分配具有相关文件依据，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14:paraId="18D4984C">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14:paraId="2EE3560E">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项目过程指标由2个二级指标和5个三级指标构成，权重为20分，实际得分19.98分。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资金到位率：乌财社【2022】397号关于提前下达2023年中央财政困难群众救助补助资金预算[直达资金]的通知预算数647万元，在2022年12月23日到位647万元,全额到位，资金到位率为100%。故资金到位率指标得分5分。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此项目资金支付方式为国库集中支付，严格按照资金需求量和预算执行进度支付：农村低保金、城市低保金每月发放一次，临时救助金按月发放，且临时救助又有临时性，应急性发放需求，且全有第三方机构代发一卡通发放，资金全部拨付到财政局开设的代发账户，第三方代发成功后及时向业务科室返回银行代发成功的到人的明细。实际支出资金：644.60万元，预算执行率为99.63%。故预算执行率得分为4.98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社会救助暂行办法》国务院令第649号、《农村五保供养工作条例》国务院令第456号、《城市居民最低生活保障条例》国务院令第271号和米东区民政局支出审核制度、财务工作管理办法、财务票据管理制度、原始凭证管理制度制度以及有关专项资金管理办法的规定。同时，资金的拨付有完整的审批程序和手续，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综上，该指标满分13分，得分12.98分。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米东区民政局已制定相应的米东区民政局财务工作管理办法、财务票据管理制度、原始凭证管理制度等相关制度,工作要求严格按照《关于印发乌鲁木齐市最低生活保障实事细则的通知》乌民发【2019】109号文、《关于印发《乌鲁木齐市最低生活保障审核确认实施办法》的通知》（乌民发规【2021】1号）、《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、《关于提高我市城乡低保标准的通知》（乌民发【2021】9号）等法规、政策执行，且制度合法、合规、完整，为项目顺利实施提供重要保障。故管理制度健全性得分为3分。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米东区民政局严格遵守相关法律法规和米东区民政局财务工作管理办法、财务票据管理制度、原始凭证管理制度等相关管理规定，项目调整及支出调整手续完备，整体管理合理有序，项目完成后，及时将会计凭证、资金拨付表、一卡通发放明细表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14:paraId="626924A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14:paraId="76AF5AF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数量指标“困难群众救助人数”的目标值是1000人，2023年度我单位实际完成1068人，原因是困难群众救助人数为动态指标，每月根据人员状况有增减。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实际完成率：107%，故数量指标得分为10分。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资金发放工作完成率：资金发放工作完成率目标值为大于等于95%，业绩值为95%，实际完成率为100%。故资金发放工作率得分为10分。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补助）及时性：依据米东区2023年各月农村低保金银行发放统计表、米东区2023年各月城市低保金银行发放统计表及该项目涉及的国库支付凭证，本单位严格按照相关文件要求，每月及时完成经济困难对象资料审核及补助资金发放工作，该指标完成率100%，故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根据《关于提高我市城乡低保标准的通知》（乌民发〔2021〕9号）文件要求，城市低保金发放标准为700元/月/人，低保金发放标准为600元/月/人，本项目实际依据米东区2023年各月惠民惠农财政补贴资金发放实名支管理台账、米东区2023年各月城市低保金银行发放统计表及该项目涉及的国库支付凭证，发放标准符合文件要求，指标完成率100%，故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14:paraId="404219E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14:paraId="5CE8270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项目效益指标由1个二级指标和2个三级指标构成，权重为15分，实际得分15分。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困难群众生活水平提升度”，指标值：显著提升，实际完成值：完全达到预期效果。本项目的实施保障了集中、分散供养的农村五保人员以及城乡低保户等各类困难群体的生活，体现了党和政府对困难群众民生问题的关心，能有效地缓解这一群体基本生活保障的问题，对于维护社会稳定，促进社会和谐，具有十分重要的意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完善困难群众救助工作体系”，指标值：有效完善，实际完成值：完全达到预期效果。本项目的实施有效完善了城乡低保和特困供养人员保障制度，体现了党和政府对困难群众民生问题的关心，能有效地缓解这一群体基本生活保障的问题，对于维护社会稳定，促进社会和谐，具有十分重要的意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生态效益指标：不适用。</w:t>
      </w:r>
    </w:p>
    <w:p w14:paraId="57FD828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满意度完成指标由1个二级指标和1个三级指标构成，权重为5分，实际得分5分。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评价指标“困难群众满意度”，指标值：≥95%，实际完成值：95%。通过设置问卷调查的方式进行考评评价，共计调查样本总量为20个样本，有效调查问卷20份。其中，统计“困难群众满意度”的平均值为95%。故满意度指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综上，该指标满分5分，得分5分。</w:t>
      </w:r>
    </w:p>
    <w:p w14:paraId="3385D9A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14:paraId="75C28D8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14:paraId="43BCB296">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积极开展规范化建设，不断提高管理和服务水平。群众密切关注的民政业务工作和政策，确保群众的知情权，接受群众的监督，做到各项工作的落实“公开、公平、公正”。在日常工作中，工作人员身怀爱民之心，恪守为民之责，多半李敏之事，权为民所用，情为民所系，利为民所谋，把扎实做好事关群众切身利益的每一项工作，作为一个民政工作者应尽的职责，注重加强学习业务知识，积极主动服从服务大局，主动深入到苦难呢群众家中走访，为他们排忧解难。</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狠抓落实各项救助政策，真心实意为群众办实事。民政工作是政府为民、爱民的一个窗口，市构建和谐社会的一个平台，所以对这项工作自始至终高度重视、认真对待，严格按照政策的规定做好资金管理工作，确保资金使用效果，接受群众监督，保证资金“专款专用”，爱岗敬业，全心全意为广大群众服务。全面落实低保政策，规范和完善教育救助、医疗救助、临时救助、五保供养、老龄工作等，努力提高社会保障和救助水平，落实好民政各项惠民政策，着力优化民政服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一卡通发放工作经常因卡号问题、人员死亡等致使发放失败。该问题存在原因主要由以下两点：一是各乡镇、街道、社区、村一卡通录入人员信息录入错误；二是救助困难群众更换一卡通后未与工作人员联系更新信息。</w:t>
      </w:r>
    </w:p>
    <w:p w14:paraId="391BFB0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14:paraId="017A5A3F">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（一）建议相关工作人员定期开展人员走访摸排工作，排查是否有困难群众死亡未上报、更换卡号未告知工作，防止资金无法及时发放到位。</w:t>
      </w:r>
    </w:p>
    <w:p w14:paraId="4DE4CB6C">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14:paraId="5D5CD257">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14:paraId="4CFE2C52">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4DF722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1CE131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06227BCA">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73F3A83B">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9A70076"/>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12288</Words>
  <Characters>12923</Characters>
  <Lines>4</Lines>
  <Paragraphs>1</Paragraphs>
  <TotalTime>12</TotalTime>
  <ScaleCrop>false</ScaleCrop>
  <LinksUpToDate>false</LinksUpToDate>
  <CharactersWithSpaces>13135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静待星空</cp:lastModifiedBy>
  <cp:lastPrinted>2018-12-31T10:56:00Z</cp:lastPrinted>
  <dcterms:modified xsi:type="dcterms:W3CDTF">2024-10-12T04:20:37Z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C734C92AAAF24344A0E4232D8EB3359B</vt:lpwstr>
  </property>
</Properties>
</file>