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14:paraId="1D33FA27">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bookmarkStart w:id="0" w:name="_GoBack"/>
      <w:bookmarkEnd w:id="0"/>
    </w:p>
    <w:p w14:paraId="6E106AD4">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06DF3DD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3D54B155">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523DB4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B9F0A2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1F5472C6">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14:paraId="05C3E73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478A78FB">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14:paraId="26501804">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69B61B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0A436978">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5731CF0C">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2CE0F0E1">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4C85A2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3DB1725E">
      <w:pPr>
        <w:spacing w:line="540" w:lineRule="exact"/>
        <w:rPr>
          <w:rFonts w:hAnsi="宋体" w:eastAsia="仿宋_GB2312" w:cs="宋体"/>
          <w:color w:val="000000" w:themeColor="text1"/>
          <w:kern w:val="0"/>
          <w:sz w:val="30"/>
          <w:szCs w:val="30"/>
          <w14:textFill>
            <w14:solidFill>
              <w14:schemeClr w14:val="tx1"/>
            </w14:solidFill>
          </w14:textFill>
        </w:rPr>
      </w:pPr>
    </w:p>
    <w:p w14:paraId="5B7D51AB">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14:paraId="71B2FEEF">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乌财社[2023]103号自治区基本公共卫生服务补助资金[直达资金][第二批]</w:t>
      </w:r>
    </w:p>
    <w:p w14:paraId="7AEB13A7">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新疆乌鲁木齐市米东区卫生综合监督执法局</w:t>
      </w:r>
    </w:p>
    <w:p w14:paraId="275DDF30">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新疆乌鲁木齐市米东区卫生综合监督执法局</w:t>
      </w:r>
    </w:p>
    <w:p w14:paraId="5747EF1B">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张双红</w:t>
      </w:r>
    </w:p>
    <w:p w14:paraId="7DACC143">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2024年05月24日</w:t>
      </w:r>
    </w:p>
    <w:p w14:paraId="677F1B1A">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14:paraId="123FA6B7">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14:paraId="2EEB6E08">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14:paraId="18E9018D">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14:paraId="3DED2D21">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（一）项目概况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为进一步加强公共卫生、医疗卫生等监督执法工作，按照《关于印发2023年国家随机监督抽查计划的通知》（国疾控综监督二函〔2023〕56号）和自治区下发的《关于印发2023年度自治区医疗卫生健康领域“双随机、一公开”抽查工作计划的通知》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（2）项目2023年的主要实施内容：（年初计划要做的内容）①监督检查任务、取被监管单位。②共完成“双随机”监督抽查工作。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（3）（3）2023年当年完成情况：①监督检查公共场所单位99家、医疗卫生11家、传染病防治9家、妇幼健康3家、放射卫生4家、生活饮用水1家共计6类机构，共抽取被监管单位127家。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（4）②共完成“双随机”监督抽查工作115家，关闭12家，完成抽检任务34家，监督完成率96.85%。完结率100%。 其中对公共场所1家、放射卫生1家下达“警告”的当场处罚,对2家公共场所检测不合格单位进行立案处罚罚款4000元。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资金投入情况：经乌财社[2023]103号自治区基本公共卫生服务补助资金[直达资金][第二批]文件批准，项目系2023年中央资金，共安排预算1.5万元，为2023年年中追加项目，全年资金无调整情况共安排预算1.5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（2）该项目资金使用情况：总预算情况：该项目年中追加1.5万元；资金投入1.5万元万元，实际执行 1.5万元。主要用于1.学校、公共场所、生活饮用水供水单位等卫生管理情况；2.医疗卫生机构预防接种管理、传染病疫情报告和疫情控制、消毒隔离措施落实、医疗废物管理、病原微生物实验室生物安全管理等情况；3.消毒产品和涉及饮用水卫生安全产品生产经营情况； 4.医疗机构、放射诊疗机构、传染病防治、放射卫生技术服务机构、母婴保健以及计划生育技术服务机构、职业卫生工作依法执业，预算执行率：100%。</w:t>
      </w:r>
    </w:p>
    <w:p w14:paraId="4EE9199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14:paraId="5F877E1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进一步贯彻落实国务院、市委市政府关于深化行政体制改革，加快转变政府职能工作要求，全面推开随机抽查，努力提高监管效能，规范卫生健康行政执法行为，创新卫生计生监督执法方式，加快建立公平、有序、诚信的经济社会发展环境，促进全市经济社会持续健康发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支付学校、公共场所、生活饮用水供水单位等卫生管理情况、医疗卫生机构预防接种管理、传染病疫情报告和疫情控制、消毒隔离措施落实、医疗废物管理、病原微生物实验室生物安全管理等情况、消毒产品和涉及饮用水卫生安全产品生产经营情况医疗机构、放射诊疗机构、传染病防治、放射卫生技术服务机构、母婴保健以及计划生育技术服务机构、职业卫生工作经费。</w:t>
      </w:r>
    </w:p>
    <w:p w14:paraId="6BFCEFBA">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14:paraId="61859553">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14:paraId="5CBE7A93">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社[2023]103号自治区基本公共卫生服务补助资金[直达资金][第二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（1）绩效评价的对象：乌财社[2023]103号自治区基本公共卫生服务补助资金[直达资金][第二批]项目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[2023]103号自治区基本公共卫生服务补助资金[直达资金][第二批]该项目主要对公共场所监督检测工作经费项目的完成情况达到100%、年初财政预算资金1.5万元，预算执行资金1.5万元,项目绩效满意度指标，人民群众满意度95%，干部职工满意度95%。</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项目的基本情况：（一）完成学校、公共场所、生活饮用水供水单位等卫生管理及监督监测工作； （二）完成消毒产品和涉及饮用水卫生安全产品生产卫生管理及监督监测工作。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工作的开展情况：2023年国家“双随机”监督抽检任务涉及公共场所、生活饮用水、放射卫生、妇幼健康、医疗卫生、传染病防治六个专业，监督检查任务有公共场所单位99家、医疗卫生11家、传染病防治9家、妇幼健康3家、放射卫生4家、生活饮用水1家共计6类机构，共抽取被监管单位127家。共完成“双随机”监督抽查工作115家，关闭12家，完成抽检任务34家，监督完成率96.85%。完结率100%。 其中对公共场所1家、放射卫生1家下达“警告”的当场处罚,对2家公共场所检测不合格单位进行立案处罚罚款4000元。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通过实施该项目，通过提高监管效能，规范卫生健康行政执法行为，创新卫生计生监督执法方式，加快了建立公平、有序、诚信的经济社会发展环境，促进了全市经济社会持续健康发展。1、加强宣传培训，提高从业人员的卫生意识。2、强化公共场所规范化管理。公共场所行业多，各单位卫生制度及卫生管理方法各不相同，为强化公共场所规范化卫生管理，我局印制了《公共场所卫生管理手册》，免费发放给公共场所经营者，从而规范、强化了各类公共场所经营者自身管理，使公共场所卫生状况明显改善。同时也存在一些问题：(一)执法人员少，难以实现执法人员随机抽取。目前，我局一线卫生监督执法人员少、执法力量不足，(二)被检查对象信息更新不及时。因卫生计生综合监督各专业类别被检查对象基数大，实时变动较大、较快，而在卫生监督信息报告系统中，未对其进行实时更新维护，将会导致被吊销、注销或自行停业的单位仍然在信息库中可能被抽取到。</w:t>
      </w:r>
    </w:p>
    <w:p w14:paraId="1271490C">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14:paraId="1F0C1D90">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（二）绩效评价原则、指标体系、方法及标准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抽检户数</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项目实施的实际产出数与计划产出数的比率，用以反映和考核项目产出数量目标的实现程度。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t>实际完成率=（实际产出数/计划产出数）×100%。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实际产出数：一定时期（本年度或项目期）内项目实际产出的产品或提供的服务数量。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计划产出数：项目绩效目标确定的在一定时期（本年度或项目期）内计划产出的产品或提供的服务数量。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t>检测完成率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项目完成的质量达标产出数与实际产出数的比率，用以反映和考核项目产出质量目标的实现程度。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t>质量达标率=（质量达标产出数/实际产出数）×100%。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项目完成时间</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项目实际完成时间与计划完成时间的比较，用以反映和考核项目产出时效目标的实现程度。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项目预算控制率</w:t>
      </w:r>
      <w:r>
        <w:rPr>
          <w:rStyle w:val="18"/>
          <w:rFonts w:hint="eastAsia" w:ascii="楷体" w:hAnsi="楷体" w:eastAsia="楷体"/>
          <w:b w:val="0"/>
          <w:bCs w:val="0"/>
          <w:color w:val="000000" w:themeColor="text1"/>
          <w:spacing w:val="-4"/>
          <w:sz w:val="32"/>
          <w:szCs w:val="32"/>
          <w14:textFill>
            <w14:solidFill>
              <w14:schemeClr w14:val="tx1"/>
            </w14:solidFill>
          </w14:textFill>
        </w:rPr>
        <w:tab/>
        <w:t>完成项目计划工作目标的实际节约成本与计划成本的比率，用以反映和考核项目的成本节约程度。</w:t>
      </w:r>
      <w:r>
        <w:rPr>
          <w:rStyle w:val="18"/>
          <w:rFonts w:hint="eastAsia" w:ascii="楷体" w:hAnsi="楷体" w:eastAsia="楷体"/>
          <w:b w:val="0"/>
          <w:bCs w:val="0"/>
          <w:color w:val="000000" w:themeColor="text1"/>
          <w:spacing w:val="-4"/>
          <w:sz w:val="32"/>
          <w:szCs w:val="32"/>
          <w14:textFill>
            <w14:solidFill>
              <w14:schemeClr w14:val="tx1"/>
            </w14:solidFill>
          </w14:textFill>
        </w:rPr>
        <w:tab/>
        <w:t>成本节约率=[（计划成本-实际成本）/计划成本]×100%。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实际成本：项目实施单位如期、保质、保量完成既定工作目标实际所耗费的支出。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计划成本：项目实施单位为完成工作目标计划安排的支出，一般以项目预算为参考。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保障社会稳定</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项目实施所产生的效益。</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项目实施所产生的社会效益、经济效益、生态效益、可持续影响等。可根据项目实际情况有选择地设置和细化。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保障全区公共场所卫生安全</w:t>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t>服务满意度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t>社会公众或服务对象对项目实施效果的满意程度。</w:t>
      </w:r>
      <w:r>
        <w:rPr>
          <w:rStyle w:val="18"/>
          <w:rFonts w:hint="eastAsia" w:ascii="楷体" w:hAnsi="楷体" w:eastAsia="楷体"/>
          <w:b w:val="0"/>
          <w:bCs w:val="0"/>
          <w:color w:val="000000" w:themeColor="text1"/>
          <w:spacing w:val="-4"/>
          <w:sz w:val="32"/>
          <w:szCs w:val="32"/>
          <w14:textFill>
            <w14:solidFill>
              <w14:schemeClr w14:val="tx1"/>
            </w14:solidFill>
          </w14:textFill>
        </w:rPr>
        <w:tab/>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[2023]103号自治区基本公共卫生服务补助资金[直达资金][第二批]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？《新疆乌鲁木齐市米东区卫生综合监督执法局财务管理制度》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？《新疆乌鲁木齐市米东区卫生综合监督执法局“三重一大”方案》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？《关于下发自治区基本公共卫生服务补助资金[直达资金][第二批]的通知》乌财社[2023]103号</w:t>
      </w:r>
    </w:p>
    <w:p w14:paraId="2ED6ECBD">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14:paraId="0644D6D2">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（三）绩效评价工作过程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14:paraId="702BFB2D">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三、综合评价情况及评价结论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乌财社[2023]103号自治区基本公共卫生服务补助资金[直达资金][第二批]进行客观评价，最终评分结果为：总分为100分，绩效评级为“优”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t>抽检户数</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t>检测完成率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项目完成时间</w:t>
      </w:r>
      <w:r>
        <w:rPr>
          <w:rStyle w:val="18"/>
          <w:rFonts w:hint="eastAsia" w:ascii="楷体" w:hAnsi="楷体" w:eastAsia="楷体"/>
          <w:b w:val="0"/>
          <w:bCs w:val="0"/>
          <w:color w:val="000000" w:themeColor="text1"/>
          <w:spacing w:val="-4"/>
          <w:sz w:val="32"/>
          <w:szCs w:val="32"/>
          <w14:textFill>
            <w14:solidFill>
              <w14:schemeClr w14:val="tx1"/>
            </w14:solidFill>
          </w14:textFill>
        </w:rPr>
        <w:tab/>
        <w:t>15</w:t>
      </w:r>
      <w:r>
        <w:rPr>
          <w:rStyle w:val="18"/>
          <w:rFonts w:hint="eastAsia" w:ascii="楷体" w:hAnsi="楷体" w:eastAsia="楷体"/>
          <w:b w:val="0"/>
          <w:bCs w:val="0"/>
          <w:color w:val="000000" w:themeColor="text1"/>
          <w:spacing w:val="-4"/>
          <w:sz w:val="32"/>
          <w:szCs w:val="32"/>
          <w14:textFill>
            <w14:solidFill>
              <w14:schemeClr w14:val="tx1"/>
            </w14:solidFill>
          </w14:textFill>
        </w:rPr>
        <w:tab/>
        <w:t>15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项目预算控制率</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t>社会效益</w:t>
      </w:r>
      <w:r>
        <w:rPr>
          <w:rStyle w:val="18"/>
          <w:rFonts w:hint="eastAsia" w:ascii="楷体" w:hAnsi="楷体" w:eastAsia="楷体"/>
          <w:b w:val="0"/>
          <w:bCs w:val="0"/>
          <w:color w:val="000000" w:themeColor="text1"/>
          <w:spacing w:val="-4"/>
          <w:sz w:val="32"/>
          <w:szCs w:val="32"/>
          <w14:textFill>
            <w14:solidFill>
              <w14:schemeClr w14:val="tx1"/>
            </w14:solidFill>
          </w14:textFill>
        </w:rPr>
        <w:tab/>
        <w:t>保障社会稳定</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保障全区公共场所卫生安全</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t>服务满意度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该项目资金区财政及时拨付，单位在此次评价期间内，有序完成设定目标的部分工作任务（一）抽检户数，目标值12户，完成率100%，学校、公共场所、生活饮用水供水单位等卫生管理情况； （二）医疗卫生机构预防接种管理、传染病疫情报告和疫情控制、消毒隔离措施落实、医疗废物管理、病原微生物实验室生物安全管理等情况； （三）消毒产品和涉及饮用水卫生安全产品生产经营情况； （四）医疗机构、放射诊疗机构、传染病防治、放射卫生技术服务机构、母婴保健以及计划生育技术服务机构、职业卫生工作依法执业情况，按时完成国家双随机监督监测任务，“双随机”抽查打破了过去属地监管模式，监管人员与监管对象的监管关系仅发生在此次抽查工作中，有效防止了“任性”检查情况的发生；“双随机”抽查因监管人员与监管对象间较少发生“交集”，破解了属地监管人员因熟悉辖区市场主体而进行“人情监管”的问题；“双随机”抽查的检查人员来自不同的基层分局，营造了相互制约、相互监督的检查环境，较好防范了“说情风”以及失职渎职行为。</w:t>
      </w:r>
    </w:p>
    <w:p w14:paraId="624FD63F">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14:paraId="2BDB141E">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14:paraId="0E9F8597">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项目决策指标由3个二级指标和6个三级指标构成，权重为20分，实际得分20分。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国家法律法规、政策要求。为进一步加强公共卫生、医疗卫生等监督执法工作，按照《关于印发2023年国家随机监督抽查计划的通知》（国疾控综监督二函〔2023〕56号）和自治区下发的《关于印发2023年度自治区医疗卫生健康领域“双随机、一公开”抽查工作计划的通知》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同时，项目与部门职责范围相符，属于部门履职所需。此外，本项目属于公共财政支持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立项程序规范性:项目按照规定的程序申请设立，审批文件、材料符合相关要求，故立项程序规范，得4分。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双随机”抽查打破了过去属地监管模式，监管人员与监管对象的监管关系仅发生在此次抽查工作中，有效防止了“任性”检查情况的发生；“双随机”抽查因监管人员与监管对象间较少发生“交集”，破解了属地监管人员因熟悉辖区市场主体而进行“人情监管”的问题；“双随机”抽查的检查人员来自不同的基层分局，营造了相互制约、相互监督的检查环境，较好防范了“说情风”以及失职渎职行为。有效保障全区公共场所卫生安全，保障了社会稳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该项目从绩效目标按照产出、效益和满意度构建绩效评价指标，且具有明确性、可衡量性、可实现性、相关性和时限性等特点，能较为全面地反映本项目的产出和效益，故绩效目标合理性指标得分3分。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2023年国家“双随机”监督抽检任务涉及公共场所、生活饮用水、放射卫生、妇幼健康、医疗卫生、传染病防治六个专业，监督检查任务有公共场所单位99家、医疗卫生11家、传染病防治9家、妇幼健康3家、放射卫生4家、生活饮用水1家共计6类机构，共抽取被监管单位127家。共完成“双随机”监督抽查工作115家，关闭12家，完成抽检任务34家，监督完成率96.85%。完结率100%。 其中对公共场所1家、放射卫生1家下达“警告”的当场处罚,对2家公共场所检测不合格单位进行立案处罚罚款4000元。其中，目标已细化为具体的绩效指标，例如抽检户数，资金支付凭证，满意度调查问卷等，可通过数量指标、质量指标、时效指标和成本指标予以量化，并具有确切的评价标准，且指标设定均与目标相关。各项指标均能在现实条件下收集到相关数据进行佐证例如，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①此项目为经常性项目，预算内容与项目内容相匹配。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②预算额度测算依据充分，按照标准编制。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③预算确定的项目投资额或资金量与工作任务相匹配。。故预算编制科学性指标得分3分。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 该项目为经常性项目，资金分配符合项目各项指标。故资金分配合理性指标得分3分。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14:paraId="18D4984C">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14:paraId="2EE3560E">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资金到位率：该项目资金由财政拨付，资金预算数为1.5万元，在2023年12月21日资金到位1.5万元，资金到位率为100%故资金到位率指标得分5分。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预算执行率：2023年12月21该项目资金1.5万元由财政拨付汇款至相应账户，预算执行率为100%。故预算执行率得分为5分。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疆乌鲁木齐市米东区卫生综合监督执法局“三重一大”方案》和《疆乌鲁木齐市米东区卫生综合监督执法局财务管理制度》专项资金管理办法的规定。同时，资金的拨付有财政审批程序，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新疆乌鲁木齐市米东区卫生综合监督执法局已制定相应的《疆乌鲁木齐市米东区卫生综合监督执法局“三重一大”方案》和《疆乌鲁木齐市米东区卫生综合监督执法局财务管理制度》，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新疆乌鲁木齐市米东区卫生综合监督执法局严格遵守相关法律法规和相关管理规定，项目调整及支出调整手续完备，整体管理合理有序，项目完成后，及时将会计凭证、固定资产入库单等相关资料分类归档，制度执行有效。故制度执行有效性指标得分4分。</w:t>
      </w:r>
    </w:p>
    <w:p w14:paraId="626924A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14:paraId="76AF5AF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数量指标“抽检户数”的目标值是12户，2023年度我单位实际完成12个，超额完成任务的原因首先是资金到位率较高可以支持项目的进行，其次由于此项目为经常性项目，居民配合度较高。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实际完成率：100%，故抽检户数指标得分为10分。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质量指标：质量指标“检测完成率”的目标值是100%，2023年度我单位实际完率为100%，故检测完成率得分为10分。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时效指标：时效指标“项目完成时间”的目标值是5个月，2023年度我单位实际完成时间为5个月，该指标按时完成，完成率100%。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故项目完成时间得分为15分。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项目预算控制率：本项目实际支出1.5万元，无超支情况，项目资金全部完成，得分为5。</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14:paraId="404219E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14:paraId="5CE8270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1.评价指标“保障社会稳定”，指标值：有效保障，实际完成值：达成年度指标。本项目的实施有效保障了社会稳定。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2.评价指标“保障全区公共场所卫生安全”，指标值：有效保障，实际完成值：显著保障，达成年度指标。本项目的实施保障全区公共场所卫生安全。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生态效益指标：不适用。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综上，该指标满分15分，得分15分。</w:t>
      </w:r>
    </w:p>
    <w:p w14:paraId="57FD828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评价指标“服务满意度”，指标值：≥90%，实际完成值：90%。通过设置问卷调查的方式进行考评评价，共计调查样本总量为45个样本，有效调查问卷42份。其中，统计“非常满意”的平均值为90%。故满意度指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综上，该指标满分5分，得分5分。</w:t>
      </w:r>
    </w:p>
    <w:p w14:paraId="3385D9A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14:paraId="75C28D8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14:paraId="43BCB296">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五、主要经验及做法、存在的问题及原因分析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1、加强宣传培训，提高从业人员的卫生意识。重点做好宣传工作，认真贯彻国家法律法规和有关行业标准，分行业开展培训，每年组织公共场所负责人及从业人员认真学习公共场所相关法律法规、行业标准和相关卫生知识。在常规培训的基础上，深入企业内部开展专项学习培训，扎实有效地提高了从业人员综合素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2、强化公共场所规范化管理。公共场所行业多，各单位卫生制度及卫生管理方法各不相同，为强化公共场所规范化卫生管理，我局印制了《公共场所卫生管理手册》，免费发放给公共场所经营者，从而规范、强化了各类公共场所经营者自身管理，使公共场所卫生状况明显改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3、强化公共场所卫生监督监测。我局结合公共场所卫生许可审批要求，重点把好卫生许可准入关和从业人员健康体检关，对日常监督发现年度监测漏检的单位，及时提醒并告知监督单位进行补检。同时严格按照卫生部制定的卫生监测标准和规关，对日常监督发现年度监测漏检的单位，及时提醒并告知监督单位进行补检。同时严格按照卫生部制定的卫生监测标准和规对持证单位监测监督覆盖率达100%，使各类公共场所的卫生质量达到了国家卫生标准和要求，保证了各类公共场所的《卫生许可证》持有率达90%以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执法人员少，难以实现执法人员随机抽取。目前，我局一线卫生监督执法人员少、执法力量不足，参加本年度双随机人员共只有5名执法人员，监管着辖区内九百多家被监管对象，每名执法人员肩负着数个专业的执法任务，在随机抽取确定执法人员时难以实现真正的随机、回避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被检查对象信息更新不及时。因卫生计生综合监督各专业类别被检查对象基数大，实时变动较大、较快，而在卫生监督信息报告系统中，未对其进行实时更新维护，将会导致被吊销、注销或自行停业的单位仍然在信息库中可能被抽取到。</w:t>
      </w:r>
    </w:p>
    <w:p w14:paraId="391BFB0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14:paraId="017A5A3F">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六、有关建议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对项目决策建议：为进一步加强我区公共卫生、医疗卫生、传染病防控等卫生监督执法工作，按照《关于印发2023年国家随机监督抽查计划的通知》（国疾控综监督二函〔2023〕56号）和自治区下发的《关于印发2023年度自治区医疗卫生健康领域“双随机、一公开”抽查工作计划的通知》要求，结合2023年乌鲁木齐市米东区卫生健康重点工作要求，建议国家和自治区双随机抽查工作任务能够合并开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对预算建议：严格执行《预算法》等有关法律法规，加强绩效管理与预算管理紧密结合，按照绩效监控节点，结合项目执行情况，计算预算执行进度，同时为保证资金在使用过程中使用性质正确、不超支，严格按照预算规定的资金性质，分享标准执行，建议预算财政资金能够及时到位，有序保障和推进各项工作的进展进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对资金管理建议：项目资金的使用符合国家财经法律法规和财务管理制度以及有关专项资金管理办法的规定，符合预算批复与合同规定的用途，进一步提高财政资金的使用效率。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对项目管理建议：今后工作中，我局将加强卫生监督执法队伍建设，狠抓卫生监督员的业务和相关法律法规知识培训，提高卫生监督队伍的整体素质，提高综合执法水平，加大法制稽查监督力度。加强卫生监督员日常业务能力，及时维护系统“两库”，打造常态化、规范化、制度化的“双随机、一公开”综合监管新模式。</w:t>
      </w:r>
    </w:p>
    <w:p w14:paraId="4DE4CB6C">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14:paraId="5D5CD257">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七、其他需要说明的问题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14:paraId="4CFE2C52">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4DF722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1CE131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06227BCA">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73F3A83B">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99A72B7"/>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11614</Words>
  <Characters>12075</Characters>
  <Lines>4</Lines>
  <Paragraphs>1</Paragraphs>
  <TotalTime>12</TotalTime>
  <ScaleCrop>false</ScaleCrop>
  <LinksUpToDate>false</LinksUpToDate>
  <CharactersWithSpaces>12288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静待星空</cp:lastModifiedBy>
  <cp:lastPrinted>2018-12-31T10:56:00Z</cp:lastPrinted>
  <dcterms:modified xsi:type="dcterms:W3CDTF">2024-10-12T04:13:46Z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C734C92AAAF24344A0E4232D8EB3359B</vt:lpwstr>
  </property>
</Properties>
</file>