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58A7">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1D33FA27">
      <w:pPr>
        <w:spacing w:line="540" w:lineRule="exact"/>
        <w:jc w:val="center"/>
        <w:rPr>
          <w:rFonts w:hint="eastAsia" w:ascii="华文中宋" w:hAnsi="华文中宋" w:eastAsia="华文中宋" w:cs="宋体"/>
          <w:b/>
          <w:kern w:val="0"/>
          <w:sz w:val="52"/>
          <w:szCs w:val="52"/>
        </w:rPr>
      </w:pPr>
    </w:p>
    <w:p w14:paraId="6E106AD4">
      <w:pPr>
        <w:spacing w:line="540" w:lineRule="exact"/>
        <w:jc w:val="center"/>
        <w:rPr>
          <w:rFonts w:hint="eastAsia" w:ascii="华文中宋" w:hAnsi="华文中宋" w:eastAsia="华文中宋" w:cs="宋体"/>
          <w:b/>
          <w:kern w:val="0"/>
          <w:sz w:val="52"/>
          <w:szCs w:val="52"/>
        </w:rPr>
      </w:pPr>
    </w:p>
    <w:p w14:paraId="06DF3DDB">
      <w:pPr>
        <w:spacing w:line="540" w:lineRule="exact"/>
        <w:jc w:val="center"/>
        <w:rPr>
          <w:rFonts w:hint="eastAsia" w:ascii="华文中宋" w:hAnsi="华文中宋" w:eastAsia="华文中宋" w:cs="宋体"/>
          <w:b/>
          <w:kern w:val="0"/>
          <w:sz w:val="52"/>
          <w:szCs w:val="52"/>
        </w:rPr>
      </w:pPr>
    </w:p>
    <w:p w14:paraId="3D54B155">
      <w:pPr>
        <w:spacing w:line="540" w:lineRule="exact"/>
        <w:jc w:val="center"/>
        <w:rPr>
          <w:rFonts w:hint="eastAsia" w:ascii="华文中宋" w:hAnsi="华文中宋" w:eastAsia="华文中宋" w:cs="宋体"/>
          <w:b/>
          <w:kern w:val="0"/>
          <w:sz w:val="52"/>
          <w:szCs w:val="52"/>
        </w:rPr>
      </w:pPr>
    </w:p>
    <w:p w14:paraId="7523DB40">
      <w:pPr>
        <w:spacing w:line="540" w:lineRule="exact"/>
        <w:jc w:val="center"/>
        <w:rPr>
          <w:rFonts w:hint="eastAsia" w:ascii="华文中宋" w:hAnsi="华文中宋" w:eastAsia="华文中宋" w:cs="宋体"/>
          <w:b/>
          <w:kern w:val="0"/>
          <w:sz w:val="52"/>
          <w:szCs w:val="52"/>
        </w:rPr>
      </w:pPr>
    </w:p>
    <w:p w14:paraId="7B9F0A20">
      <w:pPr>
        <w:spacing w:line="540" w:lineRule="exact"/>
        <w:jc w:val="center"/>
        <w:rPr>
          <w:rFonts w:hint="eastAsia" w:ascii="华文中宋" w:hAnsi="华文中宋" w:eastAsia="华文中宋" w:cs="宋体"/>
          <w:b/>
          <w:kern w:val="0"/>
          <w:sz w:val="52"/>
          <w:szCs w:val="52"/>
        </w:rPr>
      </w:pPr>
    </w:p>
    <w:p w14:paraId="1F5472C6">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5C3E73B">
      <w:pPr>
        <w:spacing w:line="540" w:lineRule="exact"/>
        <w:jc w:val="center"/>
        <w:rPr>
          <w:rFonts w:hint="eastAsia" w:ascii="华文中宋" w:hAnsi="华文中宋" w:eastAsia="华文中宋" w:cs="宋体"/>
          <w:b/>
          <w:kern w:val="0"/>
          <w:sz w:val="52"/>
          <w:szCs w:val="52"/>
        </w:rPr>
      </w:pPr>
    </w:p>
    <w:p w14:paraId="478A78FB">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6501804">
      <w:pPr>
        <w:spacing w:line="540" w:lineRule="exact"/>
        <w:jc w:val="center"/>
        <w:rPr>
          <w:rFonts w:hint="eastAsia" w:hAnsi="宋体" w:eastAsia="仿宋_GB2312" w:cs="宋体"/>
          <w:kern w:val="0"/>
          <w:sz w:val="30"/>
          <w:szCs w:val="30"/>
        </w:rPr>
      </w:pPr>
    </w:p>
    <w:p w14:paraId="69B61B55">
      <w:pPr>
        <w:spacing w:line="540" w:lineRule="exact"/>
        <w:jc w:val="center"/>
        <w:rPr>
          <w:rFonts w:hint="eastAsia" w:hAnsi="宋体" w:eastAsia="仿宋_GB2312" w:cs="宋体"/>
          <w:kern w:val="0"/>
          <w:sz w:val="30"/>
          <w:szCs w:val="30"/>
        </w:rPr>
      </w:pPr>
    </w:p>
    <w:p w14:paraId="0A436978">
      <w:pPr>
        <w:spacing w:line="540" w:lineRule="exact"/>
        <w:jc w:val="center"/>
        <w:rPr>
          <w:rFonts w:hint="eastAsia" w:hAnsi="宋体" w:eastAsia="仿宋_GB2312" w:cs="宋体"/>
          <w:kern w:val="0"/>
          <w:sz w:val="30"/>
          <w:szCs w:val="30"/>
        </w:rPr>
      </w:pPr>
    </w:p>
    <w:p w14:paraId="5731CF0C">
      <w:pPr>
        <w:spacing w:line="540" w:lineRule="exact"/>
        <w:jc w:val="center"/>
        <w:rPr>
          <w:rFonts w:hint="eastAsia" w:hAnsi="宋体" w:eastAsia="仿宋_GB2312" w:cs="宋体"/>
          <w:kern w:val="0"/>
          <w:sz w:val="30"/>
          <w:szCs w:val="30"/>
        </w:rPr>
      </w:pPr>
    </w:p>
    <w:p w14:paraId="2CE0F0E1">
      <w:pPr>
        <w:spacing w:line="540" w:lineRule="exact"/>
        <w:jc w:val="center"/>
        <w:rPr>
          <w:rFonts w:hint="eastAsia" w:hAnsi="宋体" w:eastAsia="仿宋_GB2312" w:cs="宋体"/>
          <w:kern w:val="0"/>
          <w:sz w:val="30"/>
          <w:szCs w:val="30"/>
        </w:rPr>
      </w:pPr>
    </w:p>
    <w:p w14:paraId="4C85A255">
      <w:pPr>
        <w:spacing w:line="540" w:lineRule="exact"/>
        <w:jc w:val="center"/>
        <w:rPr>
          <w:rFonts w:hint="eastAsia" w:hAnsi="宋体" w:eastAsia="仿宋_GB2312" w:cs="宋体"/>
          <w:kern w:val="0"/>
          <w:sz w:val="30"/>
          <w:szCs w:val="30"/>
        </w:rPr>
      </w:pPr>
    </w:p>
    <w:p w14:paraId="3DB1725E">
      <w:pPr>
        <w:spacing w:line="540" w:lineRule="exact"/>
        <w:rPr>
          <w:rFonts w:hint="eastAsia" w:hAnsi="宋体" w:eastAsia="仿宋_GB2312" w:cs="宋体"/>
          <w:kern w:val="0"/>
          <w:sz w:val="30"/>
          <w:szCs w:val="30"/>
        </w:rPr>
      </w:pPr>
    </w:p>
    <w:p w14:paraId="5B7D51AB">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71B2FEEF">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乌财社[2022]393号2023年中央财政医疗服务与保障能力提升[中医药事业传承与发展部分]直达资金</w:t>
      </w:r>
    </w:p>
    <w:p w14:paraId="7AEB13A7">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米东区中医医院</w:t>
      </w:r>
    </w:p>
    <w:p w14:paraId="275DDF30">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米东区中医医院</w:t>
      </w:r>
    </w:p>
    <w:p w14:paraId="5747EF1B">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艾万里</w:t>
      </w:r>
    </w:p>
    <w:p w14:paraId="7DACC143">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2024年05月22日</w:t>
      </w:r>
    </w:p>
    <w:p w14:paraId="677F1B1A">
      <w:pPr>
        <w:spacing w:line="700" w:lineRule="exact"/>
        <w:ind w:firstLine="708" w:firstLineChars="236"/>
        <w:jc w:val="left"/>
        <w:rPr>
          <w:rFonts w:hint="eastAsia" w:hAnsi="宋体" w:eastAsia="仿宋_GB2312" w:cs="宋体"/>
          <w:kern w:val="0"/>
          <w:sz w:val="30"/>
          <w:szCs w:val="30"/>
        </w:rPr>
      </w:pPr>
    </w:p>
    <w:p w14:paraId="123FA6B7">
      <w:pPr>
        <w:spacing w:line="540" w:lineRule="exact"/>
        <w:rPr>
          <w:rStyle w:val="18"/>
          <w:rFonts w:hint="eastAsia" w:ascii="黑体" w:hAnsi="黑体" w:eastAsia="黑体"/>
          <w:b w:val="0"/>
          <w:spacing w:val="-4"/>
          <w:sz w:val="32"/>
          <w:szCs w:val="32"/>
        </w:rPr>
      </w:pPr>
    </w:p>
    <w:p w14:paraId="2EEB6E08">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E9018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3DED2D2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央下达乌财社[2022]393号2023年中央财政医疗服务与保障能力提升（中医药事业传承与发展部分）项目，下达项目资金共50万元。本单位要对照《国家中医重点专科建设要求(2013版)》和《中医医院临床科室建设与管理指南》的各项指标要求，开展项目建设与管理工作，深入挖掘整理专科专病临床经验与中医特色疗法，开展中医专科专病人才培养，优化中医临床路径与诊疗方案，购置专科专病必要的中医特色诊疗设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该项目实施背景：根据《2022年中央转移支付基层中医药服务能力建设项目实施方案》，通过组织业务培训，加强我院医务人员业务水平。建设和培育一批诊疗水平较高、临床疗效较为显著、中医药特色优势明显、管理水平和示范带动作用明显、并可稳步持续发展的中医临床重点专科和中医康复科临床重点专病，为广大人民群众提供更加优质有效的服务，不断满足广大人民群众对服务的需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（2）项目2023年的主要实施内容：①完成人员外出培训;②购买PRP专用高心机设备一台;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2023年当年完成情况：实际完成情况为①完成培训共10人,使用资金10.45万元，2023年2月7日-8月8日选派治疗师王军霞前往广医三院、南方医科大学附属顺德医院进修学习孕产康复6个月，花费2.66万元；2023年3月12日-5月30日、5月29日-31日选派护师张甜前往杭州同济医院进修高压氧治疗3个月、自治区人民医院参加高压氧上岗培训班，花费0.39万元；2023年3月22日-6月21日选派护师陈宇宣前往成都、重庆参加康复专科护士培训三个月，花费2.81万元；2023年4月1日-6月30日选派李玉群主任前往云南省安宁医院进修疼痛治疗3个月，花费0.51万元；2023年9月6日-9月10日选派马春梅、李钰、许瑞、曹立东4人参加物理医学与康复学术会议，花费2.79万元；2023年9月7日-9月10日选派还是王静、马阳参加全国疼痛护理学术会议，花费1.29万元。②采购PRP专用高心机设备一台，共39.55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（1）该项目资金投入情况：经乌财社[2022]393号文件批准，项目系2023年中央资金，共安排预算50万元，于2023年年初部门预算批复项目。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（2）该项目资金使用情况：①总预算情况：50万元；②资金投入包括：用于采购PRP专用高心机设备一台39.94万元。人员培训共10人,使用资金10.45万元。、执行情况：全部已完成；③预算执行率：100%。</w:t>
      </w:r>
    </w:p>
    <w:p w14:paraId="4EE9199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5F877E1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该项目为当年一次性项目。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总体绩效目标：项目资金用于采购PRP专用高心机设备一台39.55万元。人员培训共10人,使用资金10.45万元。通过组织我院医务人员参与业务培训，购买专用设备，有效提高我院医务人员专业水平，更好完成重点专科建设，提高我院医疗服务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该项本年目标为：项目资金用于采购PRP专用高心机设备一台39.5万元。人员培训共10人,使用资金10.45万元。</w:t>
      </w:r>
    </w:p>
    <w:p w14:paraId="6BFCEFBA">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1859553">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CBE7A9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目标填报完整和可行。该项目目标为：用于采购PRP专用高心机设备一台与专业技术人员培训10人,通过组织我院医务人员参与业务培训，购买专用设备，有效提高我院医务人员专业水平，这些目标均可通过绩效评价系统完整体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相关科室制定详细实施方案，科主任，归口科室，财务科逐级审批，最后以院领导审批终版为准，项目执行通过建立联动机制，各部门密切配合，分工责任，各司其职，树立正确的预算执行意识，加强单位领导者与管理者的预算执行意识，以身作则的带动下属工作人员及组织、部门严肃对待预算执行这一问题，资金按照财务支付制度报财政予以支付，以确保数据的准确性和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2023年中央财政医疗服务与保障能力提升（中医药事业传承与发展部分）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（1）绩效评价的对象：2023年中央财政医疗服务与保障能力提升（中医药事业传承与发展部分）项目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（1）时间范围：2024年5月14日至2024年5月30日。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范围：2023年中央财政医疗服务与保障能力提升（中医药事业传承与发展部分）项目下达资金50万元，项目资金用于采购PRP专用高心机设备一台39.94万元。人员培训共10人,使用资金10.45万元。我院已与2023年全部开展完成。本院评价工作也已全部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项目通过组织我院医务人员参与业务培训，购买专用设备，有效提高我院医务人员专业水平，更好完成重点专科建设，提高我院医疗服务质量。项目开展中发现专业设备不足，专业人才稀缺等问题，要积极应对及时解决，申请专项资金，购买专业设备，加强人员培训，交流学习等满足患者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中医专科建设是提高中医临床的</w:t>
      </w:r>
      <w:r>
        <w:rPr>
          <w:rStyle w:val="18"/>
          <w:rFonts w:hint="eastAsia" w:ascii="楷体" w:hAnsi="楷体" w:eastAsia="楷体"/>
          <w:b w:val="0"/>
          <w:bCs w:val="0"/>
          <w:spacing w:val="-4"/>
          <w:sz w:val="32"/>
          <w:szCs w:val="32"/>
          <w:lang w:eastAsia="zh-CN"/>
        </w:rPr>
        <w:t>重要途径</w:t>
      </w:r>
      <w:r>
        <w:rPr>
          <w:rStyle w:val="18"/>
          <w:rFonts w:hint="eastAsia" w:ascii="楷体" w:hAnsi="楷体" w:eastAsia="楷体"/>
          <w:b w:val="0"/>
          <w:bCs w:val="0"/>
          <w:spacing w:val="-4"/>
          <w:sz w:val="32"/>
          <w:szCs w:val="32"/>
        </w:rPr>
        <w:t>和基础工作，是继承发扬中医特色优势的突破口，是满足人民群众对中医医疗保健的需求，是促进中医医院内涵建设的需要，是中医学科建设和中医药学术发展的基础，更是中医医院生存和发展的重要途径，特色专科发展具有强劲势头和永恒的生命力。结合项目特点，制定符合项目实际的绩效评价指标体系及评分标准，通过数据采集、问卷调查及访谈等形式，对2023年中央财政医疗服务与保障能力提升（中医药事业传承与发展部分）项目进行客观评价，最终评分结果为：总分为99.63分，绩效评级为“优” 。</w:t>
      </w:r>
    </w:p>
    <w:p w14:paraId="1271490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F0C1D9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（5）经济性原则：绩效评价指标设计应当通俗易懂、简便易行，数据的获得应当考虑现实条件和可操作性，符合成本效益原则。本项目的评价指标体系建立如表2-1所示。表2-1 项目支出绩效评价指标体系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 二级指标 三级指标 指标解释 指标说明</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项目立项 立项依据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充分性 项目立项是否符合法律法规、相关政策、发展规划以及部门职责，用以反映和考核项目立项依据情况。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①项目立项是否符合国家法律法规、国民经济发展规划和相关政策；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②项目立项是否符合行业发展规划和政策要求；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③项目立项是否与部门职责范围相符，属于部门履职所需；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④项目是否属于公共财政支持范围，是否符合中央、地方事权支出责任划分原则；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⑤项目是否与相关部门同类项目或部门内部相关项目重复。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规范性 项目申请、设立过程是否符合相关要求，用以反映和考核项目立项的规范情况。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①项目是否按照规定的程序申请设立；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②审批文件、材料是否符合相关要求；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③事前是否已经过必要的可行性研究、专家论证、风险评估、绩效评估、集体决策。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 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 项目所设定的绩效目标是否依据充分，是否符合客观实际，用以反映和考核项目绩效目标与项目实施的相符情况。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（如未设定预算绩效目标，也可考核其他工作任务目标）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①项目是否有绩效目标；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②项目绩效目标与实际工作内容是否具有相关性；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③项目预期产出效益和效果是否符合正常的业绩水平；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绩效目标 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明确性 依据绩效目标设定的绩效指标是否清晰、细化、可衡量等，用以反映和考核项目绩效目标的明细化情况。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①是否将项目绩效目标细化分解为具体的绩效指标；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②是否通过清晰、可衡量的指标值予以体现；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 预算编制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科学性 项目预算编制是否经过科学论证、有明确标准，资金额度与年度目标是否相适应，用以反映和考核项目预算编制的科学性、合理性情况。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①预算编制是否经过科学论证；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②预算内容与项目内容是否匹配；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③预算额度测算依据是否充分，是否按照标准编制；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④预算确定的项目投资额或资金量是否与工作任务相匹配。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 项目预算资金分配是否有测算依据，与补助单位或地方实际是否相适应，用以反映和考核项目预算资金分配的科学性、合理性情况。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①预算资金分配依据是否充分；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②资金分配额度是否合理，与项目单位或地方实际是否相适应。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资金到位率 实际到位资金与预算资金的比率，用以反映和考核资金落实情况对项目实施的总体保障程度。 资金到位率=（实际到位资金/预算资金）×100%。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实际到位资金：一定时期（本年度或项目期）内落实到具体项目的资金。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预算资金：一定时期（本年度或项目期）内预算安排到具体项目的资金。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项目预算资金是否按照计划执行，用以反映或考核项目预算执行情况。 预算执行率=（实际支出资金/实际到位资金）×100%。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实际支出资金：一定时期（本年度或项目期）内项目实际拨付的资金。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合规性 项目资金使用是否符合相关的财务管理制度规定，用以反映和考核项目资金的规范运行情况。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①是否符合国家财经法规和财务管理制度以及有关专项资金管理办法的规定；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②资金的拨付是否有完整的审批程序和手续；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③是否符合项目预算批复或合同规定的用途；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 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健全性 项目实施单位的财务和业务管理制度是否健全，用以反映和考核财务和业务管理制度对项目顺利实施的保障情况。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①是否已制定或具有相应的财务和业务管理制度；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②财务和业务管理制度是否合法、合规、完整。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有效性 项目实施是否符合相关管理规定，用以反映和考核相关管理制度的有效执行情况。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②项目调整及支出调整手续是否完备；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③项目合同书、验收报告、技术鉴定等资料是否齐全并及时归档；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④项目实施的人员条件、场地设备、信息支撑等是否落实到位。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产出数量 建设一个重点专科 项目实施的实际产出数与计划产出数的比率，用以反映和考核项目产出数量目标的实现程度。 实际完成率=（实际产出数/计划产出数）×100%。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实际产出数：一定时期（本年度或项目期）内项目实际产出的产品或提供的服务数量。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计划产出数：项目绩效目标确定的在一定时期（本年度或项目期）内计划产出的产品或提供的服务数量。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设备购置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产出质量 培训完成率 项目完成的质量达标产出数与实际产出数的比率，用以反映和考核项目产出质量目标的实现程度。 质量达标率=（质量达标产出数/实际产出数）×100%。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产出时效 培训完成及时率 项目实际完成时间与计划完成时间的比较，用以反映和考核项目产出时效目标的实现程度。 实际完成时间：项目实施单位完成该项目实际所耗用的时间。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计划完成时间：按照项目实施计划或相关规定完成该项目所需的时间。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产出成本 项目预算控制率 完成项目计划工作目标的实际节约成本与计划成本的比率，用以反映和考核项目的成本节约程度。 成本节约率=[（计划成本-实际成本）/计划成本]×100%。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实际成本：项目实施单位如期、保质、保量完成既定工作目标实际所耗费的支出。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计划成本：项目实施单位为完成工作目标计划安排的支出，一般以项目预算为参考。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 社会效益指标 提高中医药服务能力 项目实施所产生的效益。 项目实施所产生的社会效益、经济效益、生态效益、可持续影响等。可根据项目实际情况有选择地设置和细化。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 满意度指标 就医患者满意度 社会公众或服务对象对项目实施效果的满意程度。 社会公众或服务对象是指因该项目实施而受到影响的部门（单位）、群体或个人。一般采取社会调查的方式。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2023年中央财政医疗服务与保障能力提升（中医药事业传承与发展部分）项目的特点，本次评价主要采用比较法和公众评判法，对项目总预算和明细预算的内容、标准、计划是否经济合理进行深入分析，以考察实际产出和效益是否达到预期。4. 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《财政部关于开展2023年度中央对地方转移支付预算执行情况绩效自评工作的通知》（财监〔2024〕3号）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《中央和国家机关工作人员赴地方差旅住宿费标准明细表》的通知（乌财行【2016】193号）《国家药监局综合司国家卫生健康委办公厅关于印发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医疗器械唯一标识系统试点工作方案》的通知（药监综械注〔2019〕56号）</w:t>
      </w:r>
    </w:p>
    <w:p w14:paraId="2ED6ECBD">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0644D6D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02BFB2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2023年中央财政医疗服务与保障能力提升（中医药事业传承与发展部分）项目进行客观评价，最终评分结果为：总分为99.63分，绩效评级为“优”[本次绩效评价结果实施百分制和四级分类，其中90（含）-100分为优、80（含）-90分为良、70（含）-80分为中、70分以下为差。]。项目各部分权重和绩效分值如表3-1所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表3-1 项目各部分权重和绩效分值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 二级指标 三级指标 分值 得分 得分率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项目立项 立项依据充分性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 绩效目标合理性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绩效指标明确性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 预算编制科学性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资金到位率 5 4.63 92.6%</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 管理制度健全性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产出数量 建设一个重点专科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设备购置 10 10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产出质量 培训完成率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产出时效 培训完成及时率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产出成本 项目预算控制率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 社会项目效益 提高中医药服务能力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 满意度指标 就医患者满意度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（二）主要绩效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区财政及时拨付，单位在此次评价期间内，有序完成设定目标的工作任务，项目资金用于采购PRP专用高心机设备一台39.55万元。人员培训共10人,均在2023年度完成培训，共使用资金10.45万元。重点科室的建设进一步规范科室发展，加快科室建设，科室业务将重点发展神经康复、骨科康复、儿童康复，逐步完善人才梯队建设，形成具有临床经验、科研能力和教学能力的康复医疗团体。</w:t>
      </w:r>
    </w:p>
    <w:p w14:paraId="624FD63F">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BDB141E">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E9F8597">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项目决策指标由3个二级指标和6个三级指标构成，权重为20分，实际得分20分。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项目立项符合国家法律法规、政策要求，是乌财社[2022]393号下发文件。同时，康复科重点专科项目与本院部门职责范围相符，属于部门履职所需。此外，本康复科项目属于公共财政支持范围，符合中央、地方事权支出责任划分原则，本单位康复科项目没有与相关部门同类项目或部门内部相关项目重复。因此，立项依据充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立项程序规范性:该项目由我院上报米东区财政局批复，按照规定的程序申请设立，审批文件、材料符合相关要求，故立项程序规范，得4分。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效益和满意度构建绩效评价指标，且具有明确性、可衡量性、可实现性、相关性和时限性等特点，项目绩效目标与实际工作内容相关，与预算确定的项目投资额或资金量相匹配，能较为全面地反映本项目的产出和效益，故绩效目标合理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其中，目标已细化为具体的绩效指标产出、成本、效益、满意度，可通过数量指标、质量指标、时效指标和成本指标予以量化，采购PRP专用高心机设备与专业技术人员培训建设了重点科室，进一步规范科室发展，加快科室建设，逐步完善人才梯队建设，形成具有临床经验、科研能力和教学能力的康复医疗团体。项目具有确切的评价标准，且指标设定均与目标相关。各项指标均能在现实条件下收集到培训发票，培训相关通知，设备购买等凭据，并与当年项目年度计划相对应，故绩效目标明确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资金投入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医疗服务与保障能力提升补助资金专项用于支持本院康复科重点专科建设，预算内容与项目内容匹配，因专业设备不足，专业人才稀缺等问题，要积极应对及时解决，申请专项资金，购买专业设备，加强人员培训，用于培训项目10.45万元，设备购买39.55万元，标准依据充分、按照标准编制，且预算确定的项目资金量与工作任务相匹配。故预算编制科学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资金分配合理性：根据乌财社[2022]393号文件精神，该部分属于中央财政拨付，根据科室相关专业人员测算，在项目运作后，可以完全覆盖拨付资金。故资金分配合理性指标得分3分。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tab/>
      </w:r>
    </w:p>
    <w:p w14:paraId="18D4984C">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EE3560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项目过程指标由2个二级指标和5个三级指标构成，权重为20分，实际得分19.63分。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资金管理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资金到位率：2023年资金到位46.30万元。故资金到位率指标得分4.63分。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预算执行率：项目资金于2023年到位，2023年用于康复科培训与设备购买，资金已全部用完。故预算执行率得分为5分。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本项目资金的使用符合资金管理办法资金实行规范管理，会计资料清晰完整，拨付审批程序执行到位，项目资金使用合规，专款专用。同时，资金的拨付严格按财政局审批程序进行，符合项目预算批复或合同规定的用途，不存在截留、挤占、挪用、虚列支出等情况。故资金使用合规性得分为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综上，该指标满分13分，得分12.63分。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管理制度健全性：本项目符合本院的财务和业务管理制度，且制度合法、合规、完整，为项目顺利实施提供重要保障。故管理制度健全性得分为3分。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评价小组核查情况，本项目严格遵守相关法律法规和相关管理规定，项目调整及支出调整手续完备，整体管理合理有序，项目完成后，及时将会计凭证、培训发票，设备购买发票，固定资产入库单等相关资料分类归档，制度执行有效。故制度执行有效性指标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w:t>
      </w:r>
    </w:p>
    <w:p w14:paraId="626924A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6AF5AF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项目产出指标由4个二级指标和5个三级指标构成，权重为40分，实际得分40分。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数量指标“建设一个重点专科”的目标值是1个，2023年度我单位实际完成1个。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数量指标“设备购置”的目标值是1个，2023年度我单位实际购买个数为1台。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实际完成率：100%，故实际完成率得分为10分。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培训完成率：培训完成率为100%，康复科重点专科建设已建成，并全部完成培训及设备购买。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培训完成及时率：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培训完成及时率为100%,康复科重点专科建设培训及设备购买已于2023年12月31日前全部及时完成。故完成及时性得分为5分。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项目预算控制率：本项目实际支出50万元，项目资金全部完成，得分为5分。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综上，该部分指标满分40分，得分40分</w:t>
      </w:r>
    </w:p>
    <w:p w14:paraId="404219E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CE8270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项目效益指标由1个二级指标和1个三级指标构成，权重为10分，实际得分10分。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经济效益指标：不适用。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高中医药服务能力”，指标值：逐步提高，实际完成值：达成年度指标。本项目的实施我院严格落实2023年医院的中医特色康复服务能力提升的项目资金，基本完成了2023年计划和目标。健全康复医疗服务体系、加强康复医疗人才培养和队伍建设。建成中医康复特色诊疗中心，做好承上启下的作用。通过外出进修、短期会议培训等方式培养康复人才，开展科研课题研究，加强中医康复氛围建设，初步建成康复信息化管理系统，购置了疼痛专科标志性康复设备等，为后期继续提升中医药康复服务能力奠定了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生态效益指标：不适用。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综上，该指标满分10分，得分10分。</w:t>
      </w:r>
    </w:p>
    <w:p w14:paraId="57FD828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 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评价指标“就医患者满意度”，指标值：≥90%，实际完成值≥90%，达到预期指标值。通过设置问卷调查的方式进行考评评价，共计调查样本总量为15个样本，有效调查问卷15份。其中，统计“就医患者满意度”的平均值为90%。故满意度指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综上，该指标满分10分，得分10分。</w:t>
      </w:r>
    </w:p>
    <w:p w14:paraId="3385D9A6">
      <w:pPr>
        <w:spacing w:line="540" w:lineRule="exact"/>
        <w:ind w:firstLine="567"/>
        <w:rPr>
          <w:rStyle w:val="18"/>
          <w:rFonts w:hint="eastAsia" w:ascii="楷体" w:hAnsi="楷体" w:eastAsia="楷体"/>
          <w:spacing w:val="-4"/>
          <w:sz w:val="32"/>
          <w:szCs w:val="32"/>
        </w:rPr>
      </w:pPr>
    </w:p>
    <w:p w14:paraId="75C28D8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14:paraId="43BCB29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五、主要经验及做法、存在的问题及原因分析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使用项目资金进行参会培训，有2名医师及2名治疗师前往上海参加中华医学会全国康复会议培训5天，2名护士参加全国疼痛会议培训4天。邀请了国务院特殊津贴专家，教授，主任医师，医学博士，兵团英才，博士生导师张桂青，举办了一期科教研培训班，讲解了综合医院心身疾病的识别与治疗及如何做好临床科研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此项目我科购进了PRP专用离心机一台，适用于骨性关节炎、肌腱、韧带损伤，股骨头缺血性坏死、骨折愈合不良、筋膜炎等等，有效的促进肌肉、骨骼、神经系统损伤的修复。PRP治疗全程约1小时，术后可即时恢复日常生活。超声引导下精准注射治疗，避免血管、神经损伤，术后恢复快。提高了科室工作质量，提高科室治疗水平，提高了科室的整体服务能力，有效缓解患者的病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1.专业设备不足。在现有的康复室中，很多设备都比较老旧，无法满足患者的需求。因资金不足，很多理疗仪器和床位都已经使用了多年，导致效果不佳。在一些新型设备方面也存在欠缺。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康复专业人员严重短缺，据统计，全国康复治疗师仅有2 万人左右。而按国际一般标准，康复治疗师的最终理论需求为30 万人左右, 现有数量离理论需求及卫生部的最低要求都相差甚远。康复医学教育培训基地少且分布明显失衡，现有的康复医学硕士、博士点绝大部分在东部地区；卫生部的康复医学教育培训基地大多分布在北京、上海、武汉、南京、广东等东南地区。疆内康复专业人员严重缺失。</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调查机制普遍不够完善。我院绩效评价的满意度调查工作未有效开展，满意度指标的准确性和有效性有待提高。主要原因是现有的满意度调查机制不够健全，同时项目无特定的服务对象，组织满意度调查的工作难度较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4..项目绩效目标管理工作存在欠缺。我院按时申报了年度宣传文化发展资金绩效目标，但项目的年度绩效目标还不够科学完善，尤其是效益指标量化程度不高，不便于考核和评价。</w:t>
      </w:r>
    </w:p>
    <w:p w14:paraId="391BFB0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六、有关建议</w:t>
      </w:r>
    </w:p>
    <w:p w14:paraId="017A5A3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六、有关建议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（一）提高康复室的治疗效果和服务质量，积极申请专项资金，加强设备更新工作。定期检查和更换老旧设备，并引入新型设备，以满足患者需求。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（二）邀请先进权威专家来我院教学和指导，培养科室专业人员进行独立康复治疗病人的能力，组织有经验的医生护士去专科医院进行交流学习。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（三）完善项目满意度调查工作机制。建议尽快建立健全满意度调查机制，同时定期开展有效的满意度调查工作，确保绩效评价满意度指标的真实有效。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（四）加强项目绩效目标管理工作。预算编制是否合理、科学直接关系到经费使用过程中的成本控制和使用效果，也是体现部门工作能力和作风的重要方式。建议加强项目的绩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效目标管理，进一步细化和规范项目绩效指标体系的构建，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为预算绩效管理工作的全面、深入、有效开展夯实基础。</w:t>
      </w:r>
    </w:p>
    <w:p w14:paraId="4DE4CB6C">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5D5CD25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七、其他需要说明的问题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（四）未发现虚假行为和骗取财政资金的问题。</w:t>
      </w:r>
    </w:p>
    <w:p w14:paraId="4CFE2C52">
      <w:pPr>
        <w:spacing w:line="540" w:lineRule="exact"/>
        <w:ind w:firstLine="567"/>
        <w:rPr>
          <w:rStyle w:val="18"/>
          <w:rFonts w:hint="eastAsia" w:ascii="仿宋" w:hAnsi="仿宋" w:eastAsia="仿宋"/>
          <w:b w:val="0"/>
          <w:spacing w:val="-4"/>
          <w:sz w:val="32"/>
          <w:szCs w:val="32"/>
        </w:rPr>
      </w:pPr>
    </w:p>
    <w:p w14:paraId="4DF72206">
      <w:pPr>
        <w:spacing w:line="540" w:lineRule="exact"/>
        <w:ind w:firstLine="567"/>
        <w:rPr>
          <w:rStyle w:val="18"/>
          <w:rFonts w:hint="eastAsia" w:ascii="仿宋" w:hAnsi="仿宋" w:eastAsia="仿宋"/>
          <w:b w:val="0"/>
          <w:spacing w:val="-4"/>
          <w:sz w:val="32"/>
          <w:szCs w:val="32"/>
        </w:rPr>
      </w:pPr>
    </w:p>
    <w:p w14:paraId="1CE13106">
      <w:pPr>
        <w:spacing w:line="540" w:lineRule="exact"/>
        <w:ind w:firstLine="567"/>
        <w:rPr>
          <w:rStyle w:val="18"/>
          <w:rFonts w:hint="eastAsia" w:ascii="仿宋" w:hAnsi="仿宋" w:eastAsia="仿宋"/>
          <w:b w:val="0"/>
          <w:spacing w:val="-4"/>
          <w:sz w:val="32"/>
          <w:szCs w:val="32"/>
        </w:rPr>
      </w:pPr>
    </w:p>
    <w:p w14:paraId="06227BCA">
      <w:pPr>
        <w:spacing w:line="540" w:lineRule="exact"/>
        <w:ind w:firstLine="567"/>
        <w:rPr>
          <w:rStyle w:val="18"/>
          <w:rFonts w:hint="eastAsia" w:ascii="仿宋" w:hAnsi="仿宋" w:eastAsia="仿宋"/>
          <w:b w:val="0"/>
          <w:spacing w:val="-4"/>
          <w:sz w:val="32"/>
          <w:szCs w:val="32"/>
        </w:rPr>
      </w:pPr>
    </w:p>
    <w:p w14:paraId="73F3A83B">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F5BCB1">
        <w:pPr>
          <w:pStyle w:val="12"/>
          <w:jc w:val="center"/>
        </w:pPr>
        <w:r>
          <w:fldChar w:fldCharType="begin"/>
        </w:r>
        <w:r>
          <w:instrText xml:space="preserve">PAGE   \* MERGEFORMAT</w:instrText>
        </w:r>
        <w:r>
          <w:fldChar w:fldCharType="separate"/>
        </w:r>
        <w:r>
          <w:rPr>
            <w:lang w:val="zh-CN"/>
          </w:rPr>
          <w:t>1</w:t>
        </w:r>
        <w:r>
          <w:fldChar w:fldCharType="end"/>
        </w:r>
      </w:p>
    </w:sdtContent>
  </w:sdt>
  <w:p w14:paraId="0254A9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21AE4"/>
    <w:rsid w:val="00146AAD"/>
    <w:rsid w:val="001B3A40"/>
    <w:rsid w:val="00230961"/>
    <w:rsid w:val="0025137B"/>
    <w:rsid w:val="00291BC0"/>
    <w:rsid w:val="00311DBE"/>
    <w:rsid w:val="003A1721"/>
    <w:rsid w:val="004366A8"/>
    <w:rsid w:val="00491B24"/>
    <w:rsid w:val="00502BA7"/>
    <w:rsid w:val="005162F1"/>
    <w:rsid w:val="00535153"/>
    <w:rsid w:val="00554F82"/>
    <w:rsid w:val="0056390D"/>
    <w:rsid w:val="005719B0"/>
    <w:rsid w:val="005D10D6"/>
    <w:rsid w:val="00676266"/>
    <w:rsid w:val="006E050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92D7936"/>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1812</Words>
  <Characters>10331</Characters>
  <Lines>86</Lines>
  <Paragraphs>24</Paragraphs>
  <TotalTime>12</TotalTime>
  <ScaleCrop>false</ScaleCrop>
  <LinksUpToDate>false</LinksUpToDate>
  <CharactersWithSpaces>12119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Young.</cp:lastModifiedBy>
  <cp:lastPrinted>2018-12-31T10:56:00Z</cp:lastPrinted>
  <dcterms:modified xsi:type="dcterms:W3CDTF">2024-11-19T10:50:32Z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C734C92AAAF24344A0E4232D8EB3359B</vt:lpwstr>
  </property>
</Properties>
</file>